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EE0" w:rsidRPr="00771EE0" w:rsidRDefault="00771EE0" w:rsidP="00771E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1EE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  <w:t>Коц І.В., Бадьора Н.П.</w:t>
      </w:r>
    </w:p>
    <w:p w:rsidR="00771EE0" w:rsidRPr="00771EE0" w:rsidRDefault="00771EE0" w:rsidP="00771E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1EE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uk-UA" w:eastAsia="ru-RU"/>
        </w:rPr>
        <w:t>Вінницький національний технічний університет, Україна</w:t>
      </w:r>
    </w:p>
    <w:p w:rsidR="00771EE0" w:rsidRPr="00771EE0" w:rsidRDefault="00771EE0" w:rsidP="00771E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1EE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uk-UA" w:eastAsia="ru-RU"/>
        </w:rPr>
        <w:t> </w:t>
      </w:r>
    </w:p>
    <w:p w:rsidR="00771EE0" w:rsidRPr="00771EE0" w:rsidRDefault="00771EE0" w:rsidP="00771E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1EE0">
        <w:rPr>
          <w:rFonts w:ascii="Arial" w:eastAsia="Times New Roman" w:hAnsi="Arial" w:cs="Arial"/>
          <w:b/>
          <w:bCs/>
          <w:color w:val="000000"/>
          <w:sz w:val="27"/>
          <w:szCs w:val="27"/>
          <w:lang w:val="uk-UA" w:eastAsia="ru-RU"/>
        </w:rPr>
        <w:t>ЕКСПЕРИМЕНТАЛЬНЕ ДОСЛІДЖЕННЯ ПРОЦЕСУ ІМПУЛЬСНОГО НАГНІТАННЯ СУМІШЕЙ У ГРУНТОВИЙ МАСИВ</w:t>
      </w:r>
    </w:p>
    <w:p w:rsidR="00771EE0" w:rsidRPr="00771EE0" w:rsidRDefault="00771EE0" w:rsidP="00771E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1EE0">
        <w:rPr>
          <w:rFonts w:ascii="Arial" w:eastAsia="Times New Roman" w:hAnsi="Arial" w:cs="Arial"/>
          <w:color w:val="000000"/>
          <w:sz w:val="32"/>
          <w:szCs w:val="32"/>
          <w:lang w:val="uk-UA" w:eastAsia="ru-RU"/>
        </w:rPr>
        <w:t> </w:t>
      </w:r>
    </w:p>
    <w:p w:rsidR="00771EE0" w:rsidRPr="00771EE0" w:rsidRDefault="00771EE0" w:rsidP="00771EE0">
      <w:pPr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771E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Вступ.</w:t>
      </w:r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При тривалій</w:t>
      </w:r>
      <w:r w:rsidRPr="00771EE0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 </w:t>
      </w:r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експлуатації об’єктів, доріг, споруд, будинків, а також внаслідок дії ряду інших причин, можуть відбуватися зміни фізико-механічних властивостей ґрунтового масиву, утворюватись ослаблені, водопроникні, розущільнені зони.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Розвиток  розу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щільнених зон в інженерній споруді або поблизу її, безумовно сприяє розвитку аварійних ситуацій. Для стабілізації масиву і запобігання аварійної ситуації необхідно перевести ослаблену, розущільнену зону до її первісних властивостей. Ці обставини зумовлюють доцільність подальшого вдосконалення та розробки нового устаткування для інтенсифікації нагнітання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твердіючих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сумішей у ґрунтові масиви при їхньому посиленні.</w:t>
      </w:r>
    </w:p>
    <w:p w:rsidR="00771EE0" w:rsidRPr="00771EE0" w:rsidRDefault="00771EE0" w:rsidP="00771EE0">
      <w:pPr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771E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Аналіз останніх досліджень та публікацій.</w:t>
      </w:r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Відомі способи ін’єктування та конструкції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ін’єкторів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для нагнітання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твердіючих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сумішей не забезпечують бажаного результату і мають ряд вагомих недоліків: низька надійність та продуктивність, значні матеріальні затрати, підвищені вимоги до обслуговуючого персоналу, викликані складністю обладнання та небезпечними умовами праці [1-5].</w:t>
      </w:r>
    </w:p>
    <w:p w:rsidR="00771EE0" w:rsidRPr="00771EE0" w:rsidRDefault="00771EE0" w:rsidP="00771EE0">
      <w:pPr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1E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Виклад основного матеріалу. </w:t>
      </w:r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Експериментальне дослідження пристроїв для імпульсного нагнітання скріпних розчинів в ґрунтовий масив проводилось в Науково-дослідній лабораторії гідродинаміки Вінницького національного технічного університету. Для проведення експериментальних досліджень був виготовлений спеціальний експериментальний стенд, який показаний на рис 1. До складу експериментального стенду входить: силовий нагнітальний агрегат, що включає робочу камеру, напірну камеру, в якій знаходиться порція розчину скріпної рідини, яка в подальшому витискається у ґрунтовий масив. Управління гідроприводом нагнітального агрегату здійснюється дистанційним блоком автоматичного керування – імпульсним клапаном. Частота повторення силових імпульсів нагнітання визначалась за осцилограмами переміщення плунжерного ступінчастого робочого органу, а тиск в нагнітальній камері пристрою контролювався за показами манометра.</w:t>
      </w:r>
    </w:p>
    <w:p w:rsidR="00771EE0" w:rsidRPr="00771EE0" w:rsidRDefault="00771EE0" w:rsidP="00771EE0">
      <w:pPr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71EE0" w:rsidRPr="00771EE0" w:rsidRDefault="00771EE0" w:rsidP="00771EE0">
      <w:pPr>
        <w:spacing w:after="0" w:line="360" w:lineRule="atLeast"/>
        <w:ind w:firstLine="7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1EE0">
        <w:rPr>
          <w:rFonts w:ascii="Times New Roman" w:eastAsia="Times New Roman" w:hAnsi="Times New Roman" w:cs="Times New Roman"/>
          <w:noProof/>
          <w:color w:val="FF6600"/>
          <w:spacing w:val="6"/>
          <w:sz w:val="28"/>
          <w:szCs w:val="28"/>
          <w:lang w:eastAsia="ru-RU"/>
        </w:rPr>
        <w:lastRenderedPageBreak/>
        <w:drawing>
          <wp:inline distT="0" distB="0" distL="0" distR="0" wp14:anchorId="788161C9" wp14:editId="16914B5E">
            <wp:extent cx="2790825" cy="2124075"/>
            <wp:effectExtent l="0" t="0" r="9525" b="9525"/>
            <wp:docPr id="1" name="Рисунок 1" descr="http://www.rusnauka.com/27_NNM_2011/Stroitelstvo/3_93298.doc.files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rusnauka.com/27_NNM_2011/Stroitelstvo/3_93298.doc.files/image0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EE0" w:rsidRPr="00771EE0" w:rsidRDefault="00771EE0" w:rsidP="00771EE0">
      <w:pPr>
        <w:spacing w:after="0" w:line="360" w:lineRule="atLeast"/>
        <w:ind w:firstLine="7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</w:p>
    <w:p w:rsidR="00771EE0" w:rsidRPr="00771EE0" w:rsidRDefault="00771EE0" w:rsidP="00771EE0">
      <w:pPr>
        <w:spacing w:after="0" w:line="336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Рис.1. Загальний вигляд експериментального стенду з вимірювальною апаратурою</w:t>
      </w:r>
    </w:p>
    <w:p w:rsidR="00771EE0" w:rsidRPr="00771EE0" w:rsidRDefault="00771EE0" w:rsidP="00771EE0">
      <w:pPr>
        <w:spacing w:after="0" w:line="336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1EE0">
        <w:rPr>
          <w:rFonts w:ascii="Times New Roman" w:eastAsia="Times New Roman" w:hAnsi="Times New Roman" w:cs="Times New Roman"/>
          <w:color w:val="FF6600"/>
          <w:sz w:val="28"/>
          <w:szCs w:val="28"/>
          <w:lang w:val="uk-UA" w:eastAsia="ru-RU"/>
        </w:rPr>
        <w:t> </w:t>
      </w:r>
    </w:p>
    <w:p w:rsidR="00771EE0" w:rsidRPr="00771EE0" w:rsidRDefault="00771EE0" w:rsidP="00771EE0">
      <w:pPr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запропонованому устаткуванні було проведено серію експериментів на різних типах основ, які показали результативність імпульсного нагнітання сумішей в ґрунтовий масив і суттєво кращий результат у порівнянні з статичним способом нагнітання технологічного розчину у ґрунт. Як показали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проведені  ек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сперименти при імпульсному способі нагнітання скріпний розчин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проникав  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приблизно у 1,8 – 2,3 глибше, ніж при статичному та відбувалося більш якісне зчеплення його із ґрунтовим масивом.</w:t>
      </w:r>
    </w:p>
    <w:p w:rsidR="00771EE0" w:rsidRPr="00771EE0" w:rsidRDefault="00771EE0" w:rsidP="00771EE0">
      <w:pPr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Експериментальні дослідження проводились за методикою математичного планування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повнофакторного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експерименту, в результаті якого було отримано рівняння регресії (1), яке підтвердило адекватність отриманої моделі і дозволило описати залежності глибини проникнення імпульсного струменя скріпного розчину від тиску робочої рідини в гідросистемі, а також частоти повторення гідравлічних імпульсів та твердості ґрунтового масиву:</w:t>
      </w:r>
    </w:p>
    <w:p w:rsidR="00771EE0" w:rsidRPr="00771EE0" w:rsidRDefault="00771EE0" w:rsidP="00771EE0">
      <w:pPr>
        <w:spacing w:after="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771EE0">
        <w:rPr>
          <w:rFonts w:ascii="Times New Roman" w:eastAsia="Times New Roman" w:hAnsi="Times New Roman" w:cs="Times New Roman"/>
          <w:noProof/>
          <w:color w:val="000000"/>
          <w:sz w:val="28"/>
          <w:szCs w:val="28"/>
          <w:vertAlign w:val="subscript"/>
          <w:lang w:eastAsia="ru-RU"/>
        </w:rPr>
        <w:drawing>
          <wp:inline distT="0" distB="0" distL="0" distR="0" wp14:anchorId="540B5962" wp14:editId="5270E3C2">
            <wp:extent cx="5372100" cy="285750"/>
            <wp:effectExtent l="0" t="0" r="0" b="0"/>
            <wp:docPr id="2" name="Рисунок 2" descr="http://www.rusnauka.com/27_NNM_2011/Stroitelstvo/3_93298.doc.files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rusnauka.com/27_NNM_2011/Stroitelstvo/3_93298.doc.files/image004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     (1)</w:t>
      </w:r>
    </w:p>
    <w:p w:rsidR="00771EE0" w:rsidRPr="00771EE0" w:rsidRDefault="00771EE0" w:rsidP="00771EE0">
      <w:pPr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 </w:t>
      </w:r>
      <w:r w:rsidRPr="00771E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h</w:t>
      </w:r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– функція відгуку (ефективний радіус поширення розчину), м;</w:t>
      </w:r>
    </w:p>
    <w:p w:rsidR="00771EE0" w:rsidRPr="00771EE0" w:rsidRDefault="00771EE0" w:rsidP="00771EE0">
      <w:pPr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1E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Р</w:t>
      </w:r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– тиск робочої рідини гідросистеми,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МПа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771EE0" w:rsidRPr="00771EE0" w:rsidRDefault="00771EE0" w:rsidP="00771EE0">
      <w:pPr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1E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А</w:t>
      </w:r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– частота повторення гідравлічних імпульсів, Гц;</w:t>
      </w:r>
    </w:p>
    <w:p w:rsidR="00771EE0" w:rsidRPr="00771EE0" w:rsidRDefault="00771EE0" w:rsidP="00771EE0">
      <w:pPr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1E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d </w:t>
      </w:r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proofErr w:type="gram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характеристика</w:t>
      </w:r>
      <w:proofErr w:type="gram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середовища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(розміри частинок), мм.</w:t>
      </w:r>
    </w:p>
    <w:p w:rsidR="00771EE0" w:rsidRPr="00771EE0" w:rsidRDefault="00771EE0" w:rsidP="00771EE0">
      <w:pPr>
        <w:spacing w:after="12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 допомогою пакету прикладних програм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MathCAD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побудовано поверхні відгуку в площині (рис. 2.) дійсних значень параметрів: а) залежність глибини проникнення від тиску в гідросистемі та амплітуди коливань; б) залежність глибини проникнення від тиску гідросистеми та розмірів частинок ґрунтового масиву; в) залежність глибини проникнення від амплітуди коливань і розмірів частинок ґрунтового масиву.</w:t>
      </w:r>
    </w:p>
    <w:p w:rsidR="00771EE0" w:rsidRPr="00771EE0" w:rsidRDefault="00771EE0" w:rsidP="00771EE0">
      <w:pPr>
        <w:spacing w:after="120" w:line="480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1EE0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lastRenderedPageBreak/>
        <w:drawing>
          <wp:inline distT="0" distB="0" distL="0" distR="0" wp14:anchorId="14B04138" wp14:editId="48C2BD23">
            <wp:extent cx="2381250" cy="1704975"/>
            <wp:effectExtent l="0" t="0" r="0" b="9525"/>
            <wp:docPr id="3" name="Рисунок 3" descr="http://www.rusnauka.com/27_NNM_2011/Stroitelstvo/3_93298.doc.files/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rusnauka.com/27_NNM_2011/Stroitelstvo/3_93298.doc.files/image006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1EE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            </w:t>
      </w:r>
      <w:r w:rsidRPr="00771EE0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 wp14:anchorId="71DEBF9A" wp14:editId="096979A0">
            <wp:extent cx="2524125" cy="1695450"/>
            <wp:effectExtent l="0" t="0" r="9525" b="0"/>
            <wp:docPr id="4" name="Рисунок 4" descr="http://www.rusnauka.com/27_NNM_2011/Stroitelstvo/3_93298.doc.files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rusnauka.com/27_NNM_2011/Stroitelstvo/3_93298.doc.files/image008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EE0" w:rsidRPr="00771EE0" w:rsidRDefault="00771EE0" w:rsidP="00771EE0">
      <w:pPr>
        <w:spacing w:after="120" w:line="48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                                 а)                                                      б)</w:t>
      </w:r>
    </w:p>
    <w:p w:rsidR="00771EE0" w:rsidRPr="00771EE0" w:rsidRDefault="00771EE0" w:rsidP="00771EE0">
      <w:pPr>
        <w:spacing w:after="120" w:line="48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1EE0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 wp14:anchorId="537A9608" wp14:editId="20DAA1FA">
            <wp:extent cx="2581275" cy="1552575"/>
            <wp:effectExtent l="0" t="0" r="9525" b="9525"/>
            <wp:docPr id="5" name="Рисунок 5" descr="http://www.rusnauka.com/27_NNM_2011/Stroitelstvo/3_93298.doc.files/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rusnauka.com/27_NNM_2011/Stroitelstvo/3_93298.doc.files/image010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EE0" w:rsidRPr="00771EE0" w:rsidRDefault="00771EE0" w:rsidP="00771EE0">
      <w:pPr>
        <w:spacing w:after="120" w:line="48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в)</w:t>
      </w:r>
    </w:p>
    <w:p w:rsidR="00771EE0" w:rsidRPr="00771EE0" w:rsidRDefault="00771EE0" w:rsidP="00771EE0">
      <w:pPr>
        <w:spacing w:after="120" w:line="360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Рис. 2. Поверхні відгуку різниці верхнього та нижнього тисків в площині дійсних значень параметрів: а) </w:t>
      </w:r>
      <w:r w:rsidRPr="00771E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р-А</w:t>
      </w:r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  б) </w:t>
      </w:r>
      <w:r w:rsidRPr="00771E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р-</w:t>
      </w:r>
      <w:r w:rsidRPr="00771E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d</w:t>
      </w:r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  в) </w:t>
      </w:r>
      <w:r w:rsidRPr="00771E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A</w:t>
      </w:r>
      <w:r w:rsidRPr="00771E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-</w:t>
      </w:r>
      <w:r w:rsidRPr="00771E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d</w:t>
      </w:r>
    </w:p>
    <w:p w:rsidR="00771EE0" w:rsidRPr="00771EE0" w:rsidRDefault="00771EE0" w:rsidP="00771EE0">
      <w:pPr>
        <w:spacing w:after="12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1E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Висновок. </w:t>
      </w:r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Експериментальні дослідження показали функціональні можливості і переваги імпульсного нагнітання технологічних скріпних розчинів у ґрунтовий масив. На основі отриманих результатів було проведено математичне планування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повнофакторного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експерименту, внаслідок чого отримані рівняння регресії та побудовані поверхні відгуку площин на основі дійсних значень параметрів, які дозволяють адекватно оцінити залежність глибини проникнення розчину від основних параметрів та характеристик системи нагнітання.</w:t>
      </w:r>
    </w:p>
    <w:p w:rsidR="00771EE0" w:rsidRPr="00771EE0" w:rsidRDefault="00771EE0" w:rsidP="00771EE0">
      <w:pPr>
        <w:spacing w:after="0" w:line="360" w:lineRule="atLeast"/>
        <w:ind w:firstLine="7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1E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Використана література</w:t>
      </w:r>
    </w:p>
    <w:p w:rsidR="00771EE0" w:rsidRPr="00771EE0" w:rsidRDefault="00771EE0" w:rsidP="00771EE0">
      <w:pPr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 Патент № 2256027 С2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Российской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Федерации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МПК</w:t>
      </w:r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Е02D3/12</w:t>
      </w:r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Устройстр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 для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инъектирования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грунт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растворов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/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Збоев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В.М.,Ткач Х.Б.,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Крицкий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М.Я.,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Лябягин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А.В., Зайцев А.А.,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Скоркин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В.Ф.;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патентообладатель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Сибирский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государственный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университет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путей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сообщения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– № 2001119817/03;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заявл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16.07.2001;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опубл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10.07.2005.</w:t>
      </w:r>
    </w:p>
    <w:p w:rsidR="00771EE0" w:rsidRPr="00771EE0" w:rsidRDefault="00771EE0" w:rsidP="00771EE0">
      <w:pPr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 Патент № 78521 Україна, МПК E02D 3/12.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Ін’єктор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/ Руденко М.І., Руденко А.М.; заявник і власник патенту Руденко М.І., Руденко А.М. –  №20040402797;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заявл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15.04.2004;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опубл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10.04.2007.</w:t>
      </w:r>
    </w:p>
    <w:p w:rsidR="00771EE0" w:rsidRPr="00771EE0" w:rsidRDefault="00771EE0" w:rsidP="00771EE0">
      <w:pPr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 Патент № 40395 U Україна, МПК E21D 20/00.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Ін’єктор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для нагнітання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твердіючих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сумішей анкетування тріщин гірських порід, </w:t>
      </w:r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залізобетонних, бетонних та кам’яних конструкцій /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Шарабарін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О.Г.,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Оглоблін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В.Ф.,             Хабібулін Р.М.,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Афендіков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С.І., Білоусова В.В.; заявник і власник патенту Донбаська державна академія будівництва та архітектури – № 2001010004;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заявл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03.01.2001;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опубл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16.07.2001,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Бюл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№ 6.</w:t>
      </w:r>
    </w:p>
    <w:p w:rsidR="00771EE0" w:rsidRPr="00771EE0" w:rsidRDefault="00771EE0" w:rsidP="00771EE0">
      <w:pPr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4. </w:t>
      </w:r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Рекомендации по повышению несущей способности свайных фундаментов инъекцией химических растворов / [авт. тексту Б.И Исаев,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Ю.А.Грачёв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Н.Н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Цапкова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]. –  1989. – 50с.</w:t>
      </w:r>
    </w:p>
    <w:p w:rsidR="00771EE0" w:rsidRPr="00771EE0" w:rsidRDefault="00771EE0" w:rsidP="00771EE0">
      <w:pPr>
        <w:spacing w:after="0" w:line="360" w:lineRule="atLeast"/>
        <w:ind w:firstLine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Фундаменты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Методы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укрепления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грунтов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[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електронный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ресурс]. </w:t>
      </w:r>
      <w:proofErr w:type="spellStart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–Режим</w:t>
      </w:r>
      <w:proofErr w:type="spellEnd"/>
      <w:r w:rsidRPr="00771E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доступу к ресурсу: http://skop.com.ua/stroitelstvo/konstr/fundament/61-fundamenty-metody-ukrepleniya-gruntov.html.</w:t>
      </w:r>
    </w:p>
    <w:p w:rsidR="00771EE0" w:rsidRPr="00771EE0" w:rsidRDefault="00771EE0" w:rsidP="00771E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1EE0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 </w:t>
      </w:r>
    </w:p>
    <w:p w:rsidR="00FA0E67" w:rsidRDefault="00FA0E67">
      <w:bookmarkStart w:id="0" w:name="_GoBack"/>
      <w:bookmarkEnd w:id="0"/>
    </w:p>
    <w:sectPr w:rsidR="00FA0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EE0"/>
    <w:rsid w:val="00771EE0"/>
    <w:rsid w:val="00FA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1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E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1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E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6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Иван</cp:lastModifiedBy>
  <cp:revision>1</cp:revision>
  <dcterms:created xsi:type="dcterms:W3CDTF">2016-07-17T21:59:00Z</dcterms:created>
  <dcterms:modified xsi:type="dcterms:W3CDTF">2016-07-17T22:01:00Z</dcterms:modified>
</cp:coreProperties>
</file>