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CC" w:rsidRPr="005C50CC" w:rsidRDefault="005C50CC" w:rsidP="00A948CF">
      <w:pPr>
        <w:spacing w:after="0" w:line="240" w:lineRule="auto"/>
        <w:ind w:firstLine="510"/>
        <w:rPr>
          <w:rFonts w:ascii="Times New Roman" w:hAnsi="Times New Roman" w:cs="Times New Roman"/>
          <w:szCs w:val="28"/>
          <w:lang w:val="ru-RU"/>
        </w:rPr>
      </w:pPr>
      <w:r w:rsidRPr="005C50CC">
        <w:rPr>
          <w:rFonts w:ascii="Times New Roman" w:hAnsi="Times New Roman" w:cs="Times New Roman"/>
          <w:szCs w:val="28"/>
        </w:rPr>
        <w:t xml:space="preserve">УДК 004.89+519.216.3+656.2 </w:t>
      </w:r>
    </w:p>
    <w:p w:rsidR="00EB372E" w:rsidRDefault="005C50CC" w:rsidP="00A948CF">
      <w:pPr>
        <w:spacing w:after="0" w:line="240" w:lineRule="auto"/>
        <w:ind w:firstLine="510"/>
        <w:jc w:val="right"/>
        <w:rPr>
          <w:rFonts w:ascii="Times New Roman" w:hAnsi="Times New Roman" w:cs="Times New Roman"/>
          <w:lang w:val="en-US"/>
        </w:rPr>
      </w:pPr>
      <w:r w:rsidRPr="005C50CC">
        <w:rPr>
          <w:rFonts w:ascii="Times New Roman" w:hAnsi="Times New Roman" w:cs="Times New Roman"/>
        </w:rPr>
        <w:t>САВЧУК Т. О., КОЗАЧУК А. В.</w:t>
      </w:r>
    </w:p>
    <w:p w:rsidR="00912721" w:rsidRPr="00912721" w:rsidRDefault="00912721" w:rsidP="00A948CF">
      <w:pPr>
        <w:spacing w:after="0" w:line="240" w:lineRule="auto"/>
        <w:ind w:firstLine="5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ВНТУ (Україна)</w:t>
      </w:r>
    </w:p>
    <w:p w:rsidR="006826D0" w:rsidRPr="004A6678" w:rsidRDefault="006826D0" w:rsidP="00A948CF">
      <w:pPr>
        <w:spacing w:after="0" w:line="240" w:lineRule="auto"/>
        <w:ind w:firstLine="510"/>
        <w:jc w:val="right"/>
        <w:rPr>
          <w:rFonts w:ascii="Times New Roman" w:hAnsi="Times New Roman" w:cs="Times New Roman"/>
          <w:b/>
        </w:rPr>
      </w:pPr>
    </w:p>
    <w:p w:rsidR="006826D0" w:rsidRPr="00912721" w:rsidRDefault="00613FCC" w:rsidP="00A948CF">
      <w:pPr>
        <w:spacing w:after="0" w:line="240" w:lineRule="auto"/>
        <w:ind w:firstLine="510"/>
        <w:jc w:val="center"/>
        <w:rPr>
          <w:rFonts w:ascii="Times New Roman" w:hAnsi="Times New Roman" w:cs="Times New Roman"/>
        </w:rPr>
      </w:pPr>
      <w:r w:rsidRPr="00912721">
        <w:rPr>
          <w:rFonts w:ascii="Times New Roman" w:hAnsi="Times New Roman" w:cs="Times New Roman"/>
        </w:rPr>
        <w:t>ВИКОРИСТАННЯ ІНФОРМАЦІЙНОЇ ТЕХНОЛОГІЇ ПРОГНОЗУВАННЯ РОЗВИТКУ ШВИДКОПЛИННИХ ТЕХНОГЕННИХ СИТУАЦІЙ ДЛЯ ПРОГНОЗУВАННЯ КОТИРУВАНЬ АКЦІЙ НА УКРАЇНСЬКІЙ БІРЖІ</w:t>
      </w:r>
    </w:p>
    <w:p w:rsidR="00613FCC" w:rsidRDefault="00613FCC" w:rsidP="00A948CF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</w:rPr>
      </w:pPr>
    </w:p>
    <w:p w:rsidR="00912721" w:rsidRDefault="00757A3A" w:rsidP="00757A3A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Розглянуто застосування інформаційної технології прогнозування розвитку швидкоплинних техногенних ситуацій до прогнозування котирувань на Українській біржі. Наведено основні структурні складові інформаційної технології та порівняння методів прогнозування котирувань, що використовуються у її рамках.</w:t>
      </w:r>
    </w:p>
    <w:p w:rsidR="00757A3A" w:rsidRDefault="00757A3A" w:rsidP="00757A3A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</w:rPr>
      </w:pPr>
    </w:p>
    <w:p w:rsidR="00DE6B5B" w:rsidRPr="004A6678" w:rsidRDefault="00EB372E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Протягом останніх років збільшується рівень автоматизації торгів на фондових біржах,   в тому числі – на Українській біржі.</w:t>
      </w:r>
      <w:r w:rsidR="00D77486" w:rsidRPr="004A6678">
        <w:rPr>
          <w:rFonts w:ascii="Times New Roman" w:hAnsi="Times New Roman" w:cs="Times New Roman"/>
        </w:rPr>
        <w:t xml:space="preserve"> Одним з ключових факторів проведення успішних торгів на біржі є швидке прийняття рішень щодо дій, які необхідно виконати на біржі.</w:t>
      </w:r>
      <w:r w:rsidR="00DE6B5B" w:rsidRPr="004A6678">
        <w:rPr>
          <w:rFonts w:ascii="Times New Roman" w:hAnsi="Times New Roman" w:cs="Times New Roman"/>
        </w:rPr>
        <w:t xml:space="preserve"> </w:t>
      </w:r>
    </w:p>
    <w:p w:rsidR="00851445" w:rsidRPr="004A6678" w:rsidRDefault="00DE6B5B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Процес зміни котирувань акцій компанії в обмеженому часовому вікні на біржі можна розглядати як швидкоплинну техногенну ситуацію</w:t>
      </w:r>
      <w:r w:rsidR="00671F88" w:rsidRPr="00671F88">
        <w:rPr>
          <w:rFonts w:ascii="Times New Roman" w:hAnsi="Times New Roman" w:cs="Times New Roman"/>
        </w:rPr>
        <w:t>[1]</w:t>
      </w:r>
      <w:r w:rsidRPr="004A6678">
        <w:rPr>
          <w:rFonts w:ascii="Times New Roman" w:hAnsi="Times New Roman" w:cs="Times New Roman"/>
        </w:rPr>
        <w:t>:</w:t>
      </w:r>
      <w:r w:rsidR="00234713" w:rsidRPr="004A6678">
        <w:rPr>
          <w:rFonts w:ascii="Times New Roman" w:hAnsi="Times New Roman" w:cs="Times New Roman"/>
        </w:rPr>
        <w:t xml:space="preserve"> розглядувана</w:t>
      </w:r>
      <w:r w:rsidRPr="004A6678">
        <w:rPr>
          <w:rFonts w:ascii="Times New Roman" w:hAnsi="Times New Roman" w:cs="Times New Roman"/>
        </w:rPr>
        <w:t xml:space="preserve"> ситуація є швидкоплинною, так як час оновлення даних</w:t>
      </w:r>
      <w:r w:rsidR="00D90FFD" w:rsidRPr="004A6678">
        <w:rPr>
          <w:rFonts w:ascii="Times New Roman" w:hAnsi="Times New Roman" w:cs="Times New Roman"/>
        </w:rPr>
        <w:t xml:space="preserve"> на Українській біржі</w:t>
      </w:r>
      <w:r w:rsidRPr="004A6678">
        <w:rPr>
          <w:rFonts w:ascii="Times New Roman" w:hAnsi="Times New Roman" w:cs="Times New Roman"/>
        </w:rPr>
        <w:t xml:space="preserve"> складає 15 секунд, </w:t>
      </w:r>
      <w:r w:rsidR="00FD3642" w:rsidRPr="004A6678">
        <w:rPr>
          <w:rFonts w:ascii="Times New Roman" w:hAnsi="Times New Roman" w:cs="Times New Roman"/>
        </w:rPr>
        <w:t xml:space="preserve">а це час спів розмірний з часом, </w:t>
      </w:r>
      <w:r w:rsidRPr="004A6678">
        <w:rPr>
          <w:rFonts w:ascii="Times New Roman" w:hAnsi="Times New Roman" w:cs="Times New Roman"/>
        </w:rPr>
        <w:t>необхідни</w:t>
      </w:r>
      <w:r w:rsidR="00FD3642" w:rsidRPr="004A6678">
        <w:rPr>
          <w:rFonts w:ascii="Times New Roman" w:hAnsi="Times New Roman" w:cs="Times New Roman"/>
        </w:rPr>
        <w:t>м</w:t>
      </w:r>
      <w:r w:rsidRPr="004A6678">
        <w:rPr>
          <w:rFonts w:ascii="Times New Roman" w:hAnsi="Times New Roman" w:cs="Times New Roman"/>
        </w:rPr>
        <w:t xml:space="preserve"> на їх аналіз</w:t>
      </w:r>
      <w:r w:rsidR="00234713" w:rsidRPr="004A6678">
        <w:rPr>
          <w:rFonts w:ascii="Times New Roman" w:hAnsi="Times New Roman" w:cs="Times New Roman"/>
        </w:rPr>
        <w:t>; ситуація є техногенною, так як вона виникає і розвивається внаслідок людської діяльності</w:t>
      </w:r>
      <w:r w:rsidR="00FD3642" w:rsidRPr="004A6678">
        <w:rPr>
          <w:rFonts w:ascii="Times New Roman" w:hAnsi="Times New Roman" w:cs="Times New Roman"/>
        </w:rPr>
        <w:t>.</w:t>
      </w:r>
      <w:r w:rsidR="00234713" w:rsidRPr="004A6678">
        <w:rPr>
          <w:rFonts w:ascii="Times New Roman" w:hAnsi="Times New Roman" w:cs="Times New Roman"/>
        </w:rPr>
        <w:t xml:space="preserve"> </w:t>
      </w:r>
      <w:r w:rsidR="00EB7509" w:rsidRPr="004A6678">
        <w:rPr>
          <w:rFonts w:ascii="Times New Roman" w:hAnsi="Times New Roman" w:cs="Times New Roman"/>
        </w:rPr>
        <w:t>Для підвищення швидкості прийняття рішень може бути вико</w:t>
      </w:r>
      <w:r w:rsidR="003D1E5F" w:rsidRPr="004A6678">
        <w:rPr>
          <w:rFonts w:ascii="Times New Roman" w:hAnsi="Times New Roman" w:cs="Times New Roman"/>
        </w:rPr>
        <w:t xml:space="preserve">ристана інформаційна технологія </w:t>
      </w:r>
      <w:r w:rsidR="00EB7509" w:rsidRPr="004A6678">
        <w:rPr>
          <w:rFonts w:ascii="Times New Roman" w:hAnsi="Times New Roman" w:cs="Times New Roman"/>
        </w:rPr>
        <w:t xml:space="preserve">прогнозування розвитку </w:t>
      </w:r>
      <w:r w:rsidR="003D1E5F" w:rsidRPr="004A6678">
        <w:rPr>
          <w:rFonts w:ascii="Times New Roman" w:hAnsi="Times New Roman" w:cs="Times New Roman"/>
        </w:rPr>
        <w:t>швидкоплинних техногенних ситуацій як засіб автоматизації прогнозування та візуалізації котирувань акцій на біржі.</w:t>
      </w:r>
      <w:r w:rsidRPr="004A6678">
        <w:rPr>
          <w:rFonts w:ascii="Times New Roman" w:hAnsi="Times New Roman" w:cs="Times New Roman"/>
        </w:rPr>
        <w:t xml:space="preserve"> </w:t>
      </w:r>
    </w:p>
    <w:p w:rsidR="00355300" w:rsidRPr="004A6678" w:rsidRDefault="00355300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Інформаційна технологія</w:t>
      </w:r>
      <w:r w:rsidR="00851445" w:rsidRPr="004A6678">
        <w:rPr>
          <w:rFonts w:ascii="Times New Roman" w:hAnsi="Times New Roman" w:cs="Times New Roman"/>
        </w:rPr>
        <w:t xml:space="preserve"> прогнозування котирувань акцій передбачає виконання наступного ланцюжка операцій:</w:t>
      </w:r>
    </w:p>
    <w:p w:rsidR="00563398" w:rsidRPr="004A6678" w:rsidRDefault="00563398" w:rsidP="00A948CF">
      <w:pPr>
        <w:pStyle w:val="ListParagraph"/>
        <w:numPr>
          <w:ilvl w:val="0"/>
          <w:numId w:val="2"/>
        </w:num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 xml:space="preserve">Збір інформації про </w:t>
      </w:r>
      <w:r w:rsidR="00002757" w:rsidRPr="004A6678">
        <w:rPr>
          <w:rFonts w:ascii="Times New Roman" w:hAnsi="Times New Roman" w:cs="Times New Roman"/>
        </w:rPr>
        <w:t>швидкоплинну технологічну</w:t>
      </w:r>
      <w:r w:rsidRPr="004A6678">
        <w:rPr>
          <w:rFonts w:ascii="Times New Roman" w:hAnsi="Times New Roman" w:cs="Times New Roman"/>
        </w:rPr>
        <w:t xml:space="preserve"> ситуацію</w:t>
      </w:r>
      <w:r w:rsidR="007D5DB0" w:rsidRPr="004A6678">
        <w:rPr>
          <w:rFonts w:ascii="Times New Roman" w:hAnsi="Times New Roman" w:cs="Times New Roman"/>
        </w:rPr>
        <w:t>: завантаженн</w:t>
      </w:r>
      <w:r w:rsidR="004C1187" w:rsidRPr="004A6678">
        <w:rPr>
          <w:rFonts w:ascii="Times New Roman" w:hAnsi="Times New Roman" w:cs="Times New Roman"/>
        </w:rPr>
        <w:t>я котирувань акцій підприємства</w:t>
      </w:r>
      <w:r w:rsidR="00002757" w:rsidRPr="004A6678">
        <w:rPr>
          <w:rFonts w:ascii="Times New Roman" w:hAnsi="Times New Roman" w:cs="Times New Roman"/>
        </w:rPr>
        <w:t xml:space="preserve"> на Українській біржі, а також новин, які є релевантними ситуації, що розглядається.</w:t>
      </w:r>
      <w:r w:rsidR="004C1187" w:rsidRPr="004A6678">
        <w:rPr>
          <w:rFonts w:ascii="Times New Roman" w:hAnsi="Times New Roman" w:cs="Times New Roman"/>
        </w:rPr>
        <w:t xml:space="preserve"> </w:t>
      </w:r>
    </w:p>
    <w:p w:rsidR="00563398" w:rsidRPr="004A6678" w:rsidRDefault="00563398" w:rsidP="00A948CF">
      <w:pPr>
        <w:pStyle w:val="ListParagraph"/>
        <w:numPr>
          <w:ilvl w:val="0"/>
          <w:numId w:val="2"/>
        </w:num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Вибір методу прогнозування</w:t>
      </w:r>
      <w:r w:rsidR="005960B1" w:rsidRPr="004A6678">
        <w:rPr>
          <w:rFonts w:ascii="Times New Roman" w:hAnsi="Times New Roman" w:cs="Times New Roman"/>
        </w:rPr>
        <w:t xml:space="preserve"> розвитку швидкоплинної техногенної ситуації </w:t>
      </w:r>
      <w:r w:rsidRPr="004A6678">
        <w:rPr>
          <w:rFonts w:ascii="Times New Roman" w:hAnsi="Times New Roman" w:cs="Times New Roman"/>
        </w:rPr>
        <w:t>в залежності від часу, доступного для прогнозування</w:t>
      </w:r>
      <w:r w:rsidR="005960B1" w:rsidRPr="004A6678">
        <w:rPr>
          <w:rFonts w:ascii="Times New Roman" w:hAnsi="Times New Roman" w:cs="Times New Roman"/>
        </w:rPr>
        <w:t>,</w:t>
      </w:r>
      <w:r w:rsidRPr="004A6678">
        <w:rPr>
          <w:rFonts w:ascii="Times New Roman" w:hAnsi="Times New Roman" w:cs="Times New Roman"/>
        </w:rPr>
        <w:t xml:space="preserve"> потужності множини </w:t>
      </w:r>
      <w:r w:rsidR="005960B1" w:rsidRPr="004A6678">
        <w:rPr>
          <w:rFonts w:ascii="Times New Roman" w:hAnsi="Times New Roman" w:cs="Times New Roman"/>
        </w:rPr>
        <w:t>наявної</w:t>
      </w:r>
      <w:r w:rsidRPr="004A6678">
        <w:rPr>
          <w:rFonts w:ascii="Times New Roman" w:hAnsi="Times New Roman" w:cs="Times New Roman"/>
        </w:rPr>
        <w:t xml:space="preserve"> інформації</w:t>
      </w:r>
      <w:r w:rsidR="005960B1" w:rsidRPr="004A6678">
        <w:rPr>
          <w:rFonts w:ascii="Times New Roman" w:hAnsi="Times New Roman" w:cs="Times New Roman"/>
        </w:rPr>
        <w:t>,</w:t>
      </w:r>
      <w:r w:rsidR="00C76BC3" w:rsidRPr="004A6678">
        <w:rPr>
          <w:rFonts w:ascii="Times New Roman" w:hAnsi="Times New Roman" w:cs="Times New Roman"/>
        </w:rPr>
        <w:t xml:space="preserve"> кількості кроків, на яку ведеться прогнозування</w:t>
      </w:r>
      <w:r w:rsidR="005960B1" w:rsidRPr="004A6678">
        <w:rPr>
          <w:rFonts w:ascii="Times New Roman" w:hAnsi="Times New Roman" w:cs="Times New Roman"/>
        </w:rPr>
        <w:t xml:space="preserve"> </w:t>
      </w:r>
      <w:r w:rsidR="007C7F17" w:rsidRPr="004A6678">
        <w:rPr>
          <w:rFonts w:ascii="Times New Roman" w:hAnsi="Times New Roman" w:cs="Times New Roman"/>
        </w:rPr>
        <w:t>(горизонт прогнозування)</w:t>
      </w:r>
      <w:r w:rsidR="004C1187" w:rsidRPr="004A6678">
        <w:rPr>
          <w:rFonts w:ascii="Times New Roman" w:hAnsi="Times New Roman" w:cs="Times New Roman"/>
        </w:rPr>
        <w:t>,</w:t>
      </w:r>
      <w:r w:rsidR="005960B1" w:rsidRPr="004A6678">
        <w:rPr>
          <w:rFonts w:ascii="Times New Roman" w:hAnsi="Times New Roman" w:cs="Times New Roman"/>
        </w:rPr>
        <w:t xml:space="preserve"> кількості проміжних значень, що повинні бути отримані під час прогнозування (період прогнозування),</w:t>
      </w:r>
      <w:r w:rsidR="004C1187" w:rsidRPr="004A6678">
        <w:rPr>
          <w:rFonts w:ascii="Times New Roman" w:hAnsi="Times New Roman" w:cs="Times New Roman"/>
        </w:rPr>
        <w:t xml:space="preserve"> а також кількості вимірів множити наявних</w:t>
      </w:r>
      <w:r w:rsidR="00851445" w:rsidRPr="004A6678">
        <w:rPr>
          <w:rFonts w:ascii="Times New Roman" w:hAnsi="Times New Roman" w:cs="Times New Roman"/>
        </w:rPr>
        <w:t xml:space="preserve"> да</w:t>
      </w:r>
      <w:r w:rsidR="004C1187" w:rsidRPr="004A6678">
        <w:rPr>
          <w:rFonts w:ascii="Times New Roman" w:hAnsi="Times New Roman" w:cs="Times New Roman"/>
        </w:rPr>
        <w:t>них.</w:t>
      </w:r>
      <w:r w:rsidR="007D5DB0" w:rsidRPr="004A6678">
        <w:rPr>
          <w:rFonts w:ascii="Times New Roman" w:hAnsi="Times New Roman" w:cs="Times New Roman"/>
        </w:rPr>
        <w:t xml:space="preserve"> </w:t>
      </w:r>
    </w:p>
    <w:p w:rsidR="00563398" w:rsidRPr="004A6678" w:rsidRDefault="00563398" w:rsidP="00A948CF">
      <w:pPr>
        <w:pStyle w:val="ListParagraph"/>
        <w:numPr>
          <w:ilvl w:val="0"/>
          <w:numId w:val="2"/>
        </w:num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Здійснення прогнозування</w:t>
      </w:r>
      <w:r w:rsidR="00782CD2" w:rsidRPr="004A6678">
        <w:rPr>
          <w:rFonts w:ascii="Times New Roman" w:hAnsi="Times New Roman" w:cs="Times New Roman"/>
        </w:rPr>
        <w:t xml:space="preserve"> котирувань акцій в рамках горизонту прогнозування.</w:t>
      </w:r>
    </w:p>
    <w:p w:rsidR="00A9507F" w:rsidRPr="004A6678" w:rsidRDefault="00563398" w:rsidP="00A948CF">
      <w:pPr>
        <w:pStyle w:val="ListParagraph"/>
        <w:numPr>
          <w:ilvl w:val="0"/>
          <w:numId w:val="2"/>
        </w:num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Візуалізація результату</w:t>
      </w:r>
      <w:r w:rsidR="007E7020" w:rsidRPr="004A6678">
        <w:rPr>
          <w:rFonts w:ascii="Times New Roman" w:hAnsi="Times New Roman" w:cs="Times New Roman"/>
        </w:rPr>
        <w:t xml:space="preserve"> прогнозування.</w:t>
      </w:r>
    </w:p>
    <w:p w:rsidR="007E7020" w:rsidRPr="004A6678" w:rsidRDefault="007E7020" w:rsidP="00A948CF">
      <w:pPr>
        <w:pStyle w:val="ListParagraph"/>
        <w:numPr>
          <w:ilvl w:val="0"/>
          <w:numId w:val="2"/>
        </w:num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Побудова рекомендацій щодо прийняття рішень, враховуючи прогноз зміни котирувань акцій підприємства на Українській біржі.</w:t>
      </w:r>
    </w:p>
    <w:p w:rsidR="00B16905" w:rsidRPr="004A6678" w:rsidRDefault="00B16905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Прогнозування акцій котирувань може бути здійснено наступними методами:</w:t>
      </w:r>
      <w:r w:rsidR="0082543E" w:rsidRPr="004A6678">
        <w:rPr>
          <w:rFonts w:ascii="Times New Roman" w:hAnsi="Times New Roman" w:cs="Times New Roman"/>
        </w:rPr>
        <w:t xml:space="preserve"> прогнозування методом сингулярного спектрального аналізу, прогнозування за допомогою нейронних мереж, прогнозування на основі методу </w:t>
      </w:r>
      <w:r w:rsidR="009E50FB" w:rsidRPr="004A6678">
        <w:rPr>
          <w:rFonts w:ascii="Times New Roman" w:hAnsi="Times New Roman" w:cs="Times New Roman"/>
        </w:rPr>
        <w:t>ковзаю</w:t>
      </w:r>
      <w:r w:rsidR="0082543E" w:rsidRPr="004A6678">
        <w:rPr>
          <w:rFonts w:ascii="Times New Roman" w:hAnsi="Times New Roman" w:cs="Times New Roman"/>
        </w:rPr>
        <w:t>чого середнього.</w:t>
      </w:r>
    </w:p>
    <w:p w:rsidR="004176C1" w:rsidRPr="004A6678" w:rsidRDefault="00095243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 xml:space="preserve">Перевагами </w:t>
      </w:r>
      <w:r w:rsidR="00805414" w:rsidRPr="004A6678">
        <w:rPr>
          <w:rFonts w:ascii="Times New Roman" w:hAnsi="Times New Roman" w:cs="Times New Roman"/>
        </w:rPr>
        <w:t>методу сингулярного спектрального аналізу</w:t>
      </w:r>
      <w:r w:rsidR="00F11AEF" w:rsidRPr="004A6678">
        <w:rPr>
          <w:rFonts w:ascii="Times New Roman" w:hAnsi="Times New Roman" w:cs="Times New Roman"/>
        </w:rPr>
        <w:t>(SSA)</w:t>
      </w:r>
      <w:r w:rsidR="00684821" w:rsidRPr="004A6678">
        <w:rPr>
          <w:rFonts w:ascii="Times New Roman" w:hAnsi="Times New Roman" w:cs="Times New Roman"/>
        </w:rPr>
        <w:t xml:space="preserve"> є те, що він не вимагає наявності стаціонарного ряду</w:t>
      </w:r>
      <w:r w:rsidR="00940308" w:rsidRPr="00940308">
        <w:rPr>
          <w:rFonts w:ascii="Times New Roman" w:hAnsi="Times New Roman" w:cs="Times New Roman"/>
          <w:lang w:val="ru-RU"/>
        </w:rPr>
        <w:t>[2]</w:t>
      </w:r>
      <w:r w:rsidR="00684821" w:rsidRPr="004A6678">
        <w:rPr>
          <w:rFonts w:ascii="Times New Roman" w:hAnsi="Times New Roman" w:cs="Times New Roman"/>
        </w:rPr>
        <w:t>, а також знань про модель тенденцій ряду та про періодичні складові ряду. Недоліком методу є його знижена точність</w:t>
      </w:r>
      <w:r w:rsidR="00F11AEF" w:rsidRPr="004A6678">
        <w:rPr>
          <w:rFonts w:ascii="Times New Roman" w:hAnsi="Times New Roman" w:cs="Times New Roman"/>
        </w:rPr>
        <w:t xml:space="preserve"> у порівнянні іншими методами, що використовують статистичні параметричні методи</w:t>
      </w:r>
      <w:r w:rsidR="00940308">
        <w:rPr>
          <w:rFonts w:ascii="Times New Roman" w:hAnsi="Times New Roman" w:cs="Times New Roman"/>
          <w:lang w:val="en-US"/>
        </w:rPr>
        <w:t>[3]</w:t>
      </w:r>
      <w:bookmarkStart w:id="0" w:name="_GoBack"/>
      <w:bookmarkEnd w:id="0"/>
      <w:r w:rsidR="00684821" w:rsidRPr="004A6678">
        <w:rPr>
          <w:rFonts w:ascii="Times New Roman" w:hAnsi="Times New Roman" w:cs="Times New Roman"/>
        </w:rPr>
        <w:t>.</w:t>
      </w:r>
      <w:r w:rsidR="00AA1142" w:rsidRPr="004A6678">
        <w:rPr>
          <w:rFonts w:ascii="Times New Roman" w:hAnsi="Times New Roman" w:cs="Times New Roman"/>
        </w:rPr>
        <w:t xml:space="preserve"> Метод передбачає виконання набору складних математичних операцій і має середню швидкодію.</w:t>
      </w:r>
    </w:p>
    <w:p w:rsidR="00AA1142" w:rsidRPr="004A6678" w:rsidRDefault="00AA1142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Прогнозування на основі нейронних мереж дозволяє</w:t>
      </w:r>
      <w:r w:rsidR="004E6095" w:rsidRPr="004A6678">
        <w:rPr>
          <w:rFonts w:ascii="Times New Roman" w:hAnsi="Times New Roman" w:cs="Times New Roman"/>
        </w:rPr>
        <w:t xml:space="preserve"> використовувати вхідну інформацію з різнорідних джерел, таких як новини, за умови попередньої обробки та нормалізації такої інформації. Метод відрізняється високою швидкодією</w:t>
      </w:r>
      <w:r w:rsidR="005C4541" w:rsidRPr="004A6678">
        <w:rPr>
          <w:rFonts w:ascii="Times New Roman" w:hAnsi="Times New Roman" w:cs="Times New Roman"/>
        </w:rPr>
        <w:t xml:space="preserve"> за умови наявності попередньо навченої нейронної мережі</w:t>
      </w:r>
      <w:r w:rsidR="004E6095" w:rsidRPr="004A6678">
        <w:rPr>
          <w:rFonts w:ascii="Times New Roman" w:hAnsi="Times New Roman" w:cs="Times New Roman"/>
        </w:rPr>
        <w:t>.</w:t>
      </w:r>
    </w:p>
    <w:p w:rsidR="00A47B38" w:rsidRDefault="00A47B38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4A6678">
        <w:rPr>
          <w:rFonts w:ascii="Times New Roman" w:hAnsi="Times New Roman" w:cs="Times New Roman"/>
        </w:rPr>
        <w:t>Для вибору методу прогнозування, для кожного з наявних методів розраховується оцінка придатності його за</w:t>
      </w:r>
      <w:r w:rsidR="00D67EA7" w:rsidRPr="004A6678">
        <w:rPr>
          <w:rFonts w:ascii="Times New Roman" w:hAnsi="Times New Roman" w:cs="Times New Roman"/>
        </w:rPr>
        <w:t>стосування для прогнозування да</w:t>
      </w:r>
      <w:r w:rsidRPr="004A6678">
        <w:rPr>
          <w:rFonts w:ascii="Times New Roman" w:hAnsi="Times New Roman" w:cs="Times New Roman"/>
        </w:rPr>
        <w:t>ної ситуації</w:t>
      </w:r>
      <w:r w:rsidR="00D67EA7" w:rsidRPr="004A6678">
        <w:rPr>
          <w:rFonts w:ascii="Times New Roman" w:hAnsi="Times New Roman" w:cs="Times New Roman"/>
        </w:rPr>
        <w:t>:</w:t>
      </w:r>
    </w:p>
    <w:p w:rsidR="004A6678" w:rsidRPr="004A6678" w:rsidRDefault="004A6678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</w:p>
    <w:p w:rsidR="00D67EA7" w:rsidRPr="006E2951" w:rsidRDefault="00940308" w:rsidP="00A948CF">
      <w:pPr>
        <w:spacing w:after="0" w:line="240" w:lineRule="auto"/>
        <w:ind w:firstLine="510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i1</m:t>
                </m:r>
              </m:sub>
            </m:sSub>
            <m:r>
              <w:rPr>
                <w:rFonts w:ascii="Cambria Math" w:hAnsi="Cambria Math" w:cs="Times New Roman"/>
              </w:rPr>
              <m:t>t+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i2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i3</m:t>
                </m:r>
              </m:sub>
            </m:sSub>
            <m:r>
              <w:rPr>
                <w:rFonts w:ascii="Cambria Math" w:hAnsi="Cambria Math" w:cs="Times New Roman"/>
              </w:rPr>
              <m:t>N+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i4</m:t>
                </m:r>
              </m:sub>
            </m:sSub>
            <m:r>
              <w:rPr>
                <w:rFonts w:ascii="Cambria Math" w:hAnsi="Cambria Math" w:cs="Times New Roman"/>
              </w:rPr>
              <m:t>L</m:t>
            </m:r>
          </m:e>
        </m:d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d>
      </m:oMath>
      <w:r w:rsidR="004A6678" w:rsidRPr="006E2951">
        <w:rPr>
          <w:rFonts w:ascii="Times New Roman" w:eastAsiaTheme="minorEastAsia" w:hAnsi="Times New Roman" w:cs="Times New Roman"/>
        </w:rPr>
        <w:t>; (1)</w:t>
      </w:r>
    </w:p>
    <w:p w:rsidR="0031382C" w:rsidRPr="004A6678" w:rsidRDefault="0031382C" w:rsidP="00A948CF">
      <w:pPr>
        <w:spacing w:after="0" w:line="240" w:lineRule="auto"/>
        <w:ind w:firstLine="510"/>
        <w:jc w:val="center"/>
        <w:rPr>
          <w:rFonts w:ascii="Times New Roman" w:eastAsiaTheme="minorEastAsia" w:hAnsi="Times New Roman" w:cs="Times New Roman"/>
        </w:rPr>
      </w:pPr>
    </w:p>
    <w:p w:rsidR="004A6678" w:rsidRDefault="004A6678" w:rsidP="00A948CF">
      <w:pPr>
        <w:spacing w:after="0" w:line="240" w:lineRule="auto"/>
        <w:ind w:firstLine="51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A667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– оцінка методу прогнозування,</w:t>
      </w:r>
      <w:r w:rsidRPr="004A667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t</m:t>
        </m:r>
      </m:oMath>
      <w:r w:rsidRPr="004A6678">
        <w:rPr>
          <w:rFonts w:ascii="Times New Roman" w:eastAsiaTheme="minorEastAsia" w:hAnsi="Times New Roman" w:cs="Times New Roman"/>
        </w:rPr>
        <w:t xml:space="preserve"> – максимальний час прогнозування,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</m:oMath>
      <w:r w:rsidRPr="004A6678">
        <w:rPr>
          <w:rFonts w:ascii="Times New Roman" w:eastAsiaTheme="minorEastAsia" w:hAnsi="Times New Roman" w:cs="Times New Roman"/>
        </w:rPr>
        <w:t xml:space="preserve"> – потужність множини наявної інформації, </w:t>
      </w:r>
      <m:oMath>
        <m:r>
          <w:rPr>
            <w:rFonts w:ascii="Cambria Math" w:hAnsi="Cambria Math" w:cs="Times New Roman"/>
          </w:rPr>
          <m:t>N</m:t>
        </m:r>
      </m:oMath>
      <w:r w:rsidRPr="004A6678">
        <w:rPr>
          <w:rFonts w:ascii="Times New Roman" w:eastAsiaTheme="minorEastAsia" w:hAnsi="Times New Roman" w:cs="Times New Roman"/>
        </w:rPr>
        <w:t xml:space="preserve"> – горизонт прогнозування, </w:t>
      </w:r>
      <m:oMath>
        <m:r>
          <w:rPr>
            <w:rFonts w:ascii="Cambria Math" w:hAnsi="Cambria Math" w:cs="Times New Roman"/>
          </w:rPr>
          <m:t>L</m:t>
        </m:r>
      </m:oMath>
      <w:r w:rsidRPr="004A6678">
        <w:rPr>
          <w:rFonts w:ascii="Times New Roman" w:eastAsiaTheme="minorEastAsia" w:hAnsi="Times New Roman" w:cs="Times New Roman"/>
        </w:rPr>
        <w:t xml:space="preserve"> – період прогнозування,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 w:rsidRPr="004A6678">
        <w:rPr>
          <w:rFonts w:ascii="Times New Roman" w:eastAsiaTheme="minorEastAsia" w:hAnsi="Times New Roman" w:cs="Times New Roman"/>
        </w:rPr>
        <w:t xml:space="preserve"> – вагові </w:t>
      </w:r>
      <w:r>
        <w:rPr>
          <w:rFonts w:ascii="Times New Roman" w:eastAsiaTheme="minorEastAsia" w:hAnsi="Times New Roman" w:cs="Times New Roman"/>
        </w:rPr>
        <w:t xml:space="preserve">коефіцієнти </w:t>
      </w:r>
      <w:r w:rsidRPr="004A6678">
        <w:rPr>
          <w:rFonts w:ascii="Times New Roman" w:eastAsiaTheme="minorEastAsia" w:hAnsi="Times New Roman" w:cs="Times New Roman"/>
          <w:i/>
        </w:rPr>
        <w:t>і</w:t>
      </w:r>
      <w:r>
        <w:rPr>
          <w:rFonts w:ascii="Times New Roman" w:eastAsiaTheme="minorEastAsia" w:hAnsi="Times New Roman" w:cs="Times New Roman"/>
        </w:rPr>
        <w:t xml:space="preserve">-го методу,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– час, необхідний для застосування </w:t>
      </w:r>
      <w:r w:rsidRPr="004A6678">
        <w:rPr>
          <w:rFonts w:ascii="Times New Roman" w:eastAsiaTheme="minorEastAsia" w:hAnsi="Times New Roman" w:cs="Times New Roman"/>
          <w:i/>
        </w:rPr>
        <w:t>і</w:t>
      </w:r>
      <w:r>
        <w:rPr>
          <w:rFonts w:ascii="Times New Roman" w:eastAsiaTheme="minorEastAsia" w:hAnsi="Times New Roman" w:cs="Times New Roman"/>
        </w:rPr>
        <w:t xml:space="preserve">-го методу,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– максимальний горизонт прогнозування за допомогою </w:t>
      </w:r>
      <w:r w:rsidRPr="004A6678">
        <w:rPr>
          <w:rFonts w:ascii="Times New Roman" w:eastAsiaTheme="minorEastAsia" w:hAnsi="Times New Roman" w:cs="Times New Roman"/>
          <w:i/>
        </w:rPr>
        <w:t>і</w:t>
      </w:r>
      <w:r>
        <w:rPr>
          <w:rFonts w:ascii="Times New Roman" w:eastAsiaTheme="minorEastAsia" w:hAnsi="Times New Roman" w:cs="Times New Roman"/>
        </w:rPr>
        <w:t xml:space="preserve">-го методу, 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613FCC">
        <w:rPr>
          <w:rFonts w:ascii="Times New Roman" w:eastAsiaTheme="minorEastAsia" w:hAnsi="Times New Roman" w:cs="Times New Roman"/>
        </w:rPr>
        <w:t xml:space="preserve"> – </w:t>
      </w:r>
      <w:r w:rsidR="00912721">
        <w:rPr>
          <w:rFonts w:ascii="Times New Roman" w:eastAsiaTheme="minorEastAsia" w:hAnsi="Times New Roman" w:cs="Times New Roman"/>
        </w:rPr>
        <w:t>функція Хевісайда (2).</w:t>
      </w:r>
    </w:p>
    <w:p w:rsidR="00912721" w:rsidRPr="00912721" w:rsidRDefault="00912721" w:rsidP="00A948CF">
      <w:pPr>
        <w:spacing w:after="0" w:line="240" w:lineRule="auto"/>
        <w:ind w:firstLine="510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r>
                <w:rPr>
                  <w:rFonts w:ascii="Cambria Math" w:hAnsi="Cambria Math" w:cs="Times New Roman"/>
                </w:rPr>
                <m:t>∂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dt</m:t>
              </m:r>
            </m:e>
          </m:nary>
          <m:r>
            <w:rPr>
              <w:rFonts w:ascii="Cambria Math" w:hAnsi="Cambria Math" w:cs="Times New Roman"/>
            </w:rPr>
            <m:t>;(2)</m:t>
          </m:r>
        </m:oMath>
      </m:oMathPara>
    </w:p>
    <w:p w:rsidR="004A6678" w:rsidRPr="004A6678" w:rsidRDefault="004A6678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Метод, що має найвищу оцінку </w:t>
      </w:r>
      <m:oMath>
        <m:r>
          <w:rPr>
            <w:rFonts w:ascii="Cambria Math" w:hAnsi="Cambria Math" w:cs="Times New Roman"/>
          </w:rPr>
          <m:t>q</m:t>
        </m:r>
      </m:oMath>
      <w:r>
        <w:rPr>
          <w:rFonts w:ascii="Times New Roman" w:eastAsiaTheme="minorEastAsia" w:hAnsi="Times New Roman" w:cs="Times New Roman"/>
        </w:rPr>
        <w:t xml:space="preserve"> використовується про прогнозування котирувань. Останні два множники у виразі (1) використовуються для відкидання методів, що мають час прогнозування, що перевищує максимально допустимий, або недостатній максимальний горизонт прогнозування.</w:t>
      </w:r>
    </w:p>
    <w:p w:rsidR="007E6EB6" w:rsidRDefault="00272F03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  <w:lang w:val="en-US"/>
        </w:rPr>
      </w:pPr>
      <w:r w:rsidRPr="004A6678">
        <w:rPr>
          <w:rFonts w:ascii="Times New Roman" w:hAnsi="Times New Roman" w:cs="Times New Roman"/>
        </w:rPr>
        <w:t xml:space="preserve">Отже, прогнозування котирувань акцій на Українській біржі може бути здійснено за допомогою </w:t>
      </w:r>
      <w:r w:rsidR="00602B8A" w:rsidRPr="004A6678">
        <w:rPr>
          <w:rFonts w:ascii="Times New Roman" w:hAnsi="Times New Roman" w:cs="Times New Roman"/>
        </w:rPr>
        <w:t>інформаційної технології прогнозування розвитку шви</w:t>
      </w:r>
      <w:r w:rsidR="00B66207" w:rsidRPr="004A6678">
        <w:rPr>
          <w:rFonts w:ascii="Times New Roman" w:hAnsi="Times New Roman" w:cs="Times New Roman"/>
        </w:rPr>
        <w:t>дкоплинної техногенної ситуації, що забезпечує швидке отримання прогнозу завдяки вибору методу прогнозування на основі бажаного горизонту прогнозування на часу, доступного на прийняття рішень.</w:t>
      </w:r>
    </w:p>
    <w:p w:rsidR="00912721" w:rsidRDefault="00912721" w:rsidP="00A948CF">
      <w:pPr>
        <w:spacing w:after="0" w:line="240" w:lineRule="auto"/>
        <w:ind w:firstLine="510"/>
        <w:jc w:val="both"/>
        <w:rPr>
          <w:rFonts w:ascii="Times New Roman" w:hAnsi="Times New Roman" w:cs="Times New Roman"/>
          <w:lang w:val="en-US"/>
        </w:rPr>
      </w:pPr>
    </w:p>
    <w:p w:rsidR="00912721" w:rsidRDefault="00912721" w:rsidP="00A948CF">
      <w:pPr>
        <w:spacing w:after="0" w:line="240" w:lineRule="auto"/>
        <w:ind w:firstLine="510"/>
        <w:jc w:val="both"/>
        <w:rPr>
          <w:rFonts w:ascii="Times New Roman" w:hAnsi="Times New Roman"/>
          <w:lang w:val="en-US"/>
        </w:rPr>
      </w:pPr>
      <w:r w:rsidRPr="00912721">
        <w:rPr>
          <w:rFonts w:ascii="Times New Roman" w:hAnsi="Times New Roman"/>
        </w:rPr>
        <w:t>ПЕРЕЛІК ЛІТЕРАТУРИ</w:t>
      </w:r>
    </w:p>
    <w:p w:rsidR="00671F88" w:rsidRPr="004753E3" w:rsidRDefault="00671F88" w:rsidP="00671F88">
      <w:pPr>
        <w:pStyle w:val="ListParagraph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1362B">
        <w:rPr>
          <w:rFonts w:ascii="Times New Roman" w:hAnsi="Times New Roman" w:cs="Times New Roman"/>
          <w:sz w:val="24"/>
          <w:lang w:val="ru-RU"/>
        </w:rPr>
        <w:t>Савчук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Т</w:t>
      </w:r>
      <w:r w:rsidRPr="00671F88">
        <w:rPr>
          <w:rFonts w:ascii="Times New Roman" w:hAnsi="Times New Roman" w:cs="Times New Roman"/>
          <w:sz w:val="24"/>
          <w:lang w:val="en-US"/>
        </w:rPr>
        <w:t>.</w:t>
      </w:r>
      <w:r w:rsidRPr="0021362B">
        <w:rPr>
          <w:rFonts w:ascii="Times New Roman" w:hAnsi="Times New Roman" w:cs="Times New Roman"/>
          <w:sz w:val="24"/>
          <w:lang w:val="ru-RU"/>
        </w:rPr>
        <w:t>О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. </w:t>
      </w:r>
      <w:r w:rsidRPr="0021362B">
        <w:rPr>
          <w:rFonts w:ascii="Times New Roman" w:hAnsi="Times New Roman" w:cs="Times New Roman"/>
          <w:sz w:val="24"/>
          <w:lang w:val="ru-RU"/>
        </w:rPr>
        <w:t>Математична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модель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вибору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методу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класифікації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техногенної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проблемної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ситуації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 / </w:t>
      </w:r>
      <w:r w:rsidRPr="0021362B">
        <w:rPr>
          <w:rFonts w:ascii="Times New Roman" w:hAnsi="Times New Roman" w:cs="Times New Roman"/>
          <w:sz w:val="24"/>
          <w:lang w:val="ru-RU"/>
        </w:rPr>
        <w:t>Т</w:t>
      </w:r>
      <w:r w:rsidRPr="00671F88">
        <w:rPr>
          <w:rFonts w:ascii="Times New Roman" w:hAnsi="Times New Roman" w:cs="Times New Roman"/>
          <w:sz w:val="24"/>
          <w:lang w:val="en-US"/>
        </w:rPr>
        <w:t>.</w:t>
      </w:r>
      <w:r w:rsidRPr="0021362B">
        <w:rPr>
          <w:rFonts w:ascii="Times New Roman" w:hAnsi="Times New Roman" w:cs="Times New Roman"/>
          <w:sz w:val="24"/>
          <w:lang w:val="ru-RU"/>
        </w:rPr>
        <w:t>О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. </w:t>
      </w:r>
      <w:r w:rsidRPr="0021362B">
        <w:rPr>
          <w:rFonts w:ascii="Times New Roman" w:hAnsi="Times New Roman" w:cs="Times New Roman"/>
          <w:sz w:val="24"/>
          <w:lang w:val="ru-RU"/>
        </w:rPr>
        <w:t>Савчук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, </w:t>
      </w:r>
      <w:r w:rsidRPr="0021362B">
        <w:rPr>
          <w:rFonts w:ascii="Times New Roman" w:hAnsi="Times New Roman" w:cs="Times New Roman"/>
          <w:sz w:val="24"/>
          <w:lang w:val="ru-RU"/>
        </w:rPr>
        <w:t>О</w:t>
      </w:r>
      <w:r w:rsidRPr="00671F88">
        <w:rPr>
          <w:rFonts w:ascii="Times New Roman" w:hAnsi="Times New Roman" w:cs="Times New Roman"/>
          <w:sz w:val="24"/>
          <w:lang w:val="en-US"/>
        </w:rPr>
        <w:t>.</w:t>
      </w:r>
      <w:r w:rsidRPr="0021362B">
        <w:rPr>
          <w:rFonts w:ascii="Times New Roman" w:hAnsi="Times New Roman" w:cs="Times New Roman"/>
          <w:sz w:val="24"/>
          <w:lang w:val="ru-RU"/>
        </w:rPr>
        <w:t>В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. </w:t>
      </w:r>
      <w:r w:rsidRPr="0021362B">
        <w:rPr>
          <w:rFonts w:ascii="Times New Roman" w:hAnsi="Times New Roman" w:cs="Times New Roman"/>
          <w:sz w:val="24"/>
          <w:lang w:val="ru-RU"/>
        </w:rPr>
        <w:t>Зьора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// «</w:t>
      </w:r>
      <w:r w:rsidRPr="0021362B">
        <w:rPr>
          <w:rFonts w:ascii="Times New Roman" w:hAnsi="Times New Roman" w:cs="Times New Roman"/>
          <w:sz w:val="24"/>
          <w:lang w:val="ru-RU"/>
        </w:rPr>
        <w:t>ІНТЕРНЕТ</w:t>
      </w:r>
      <w:r w:rsidRPr="00671F88">
        <w:rPr>
          <w:rFonts w:ascii="Times New Roman" w:hAnsi="Times New Roman" w:cs="Times New Roman"/>
          <w:sz w:val="24"/>
          <w:lang w:val="en-US"/>
        </w:rPr>
        <w:t>-</w:t>
      </w:r>
      <w:r w:rsidRPr="0021362B">
        <w:rPr>
          <w:rFonts w:ascii="Times New Roman" w:hAnsi="Times New Roman" w:cs="Times New Roman"/>
          <w:sz w:val="24"/>
          <w:lang w:val="ru-RU"/>
        </w:rPr>
        <w:t>ОСВІТА</w:t>
      </w:r>
      <w:r w:rsidRPr="00671F88">
        <w:rPr>
          <w:rFonts w:ascii="Times New Roman" w:hAnsi="Times New Roman" w:cs="Times New Roman"/>
          <w:sz w:val="24"/>
          <w:lang w:val="en-US"/>
        </w:rPr>
        <w:t>-</w:t>
      </w:r>
      <w:r w:rsidRPr="0021362B">
        <w:rPr>
          <w:rFonts w:ascii="Times New Roman" w:hAnsi="Times New Roman" w:cs="Times New Roman"/>
          <w:sz w:val="24"/>
          <w:lang w:val="ru-RU"/>
        </w:rPr>
        <w:t>НАУКА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-2012», VIII </w:t>
      </w:r>
      <w:r w:rsidRPr="0021362B">
        <w:rPr>
          <w:rFonts w:ascii="Times New Roman" w:hAnsi="Times New Roman" w:cs="Times New Roman"/>
          <w:sz w:val="24"/>
          <w:lang w:val="ru-RU"/>
        </w:rPr>
        <w:t>Міжнародна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науково</w:t>
      </w:r>
      <w:r w:rsidRPr="00671F88">
        <w:rPr>
          <w:rFonts w:ascii="Times New Roman" w:hAnsi="Times New Roman" w:cs="Times New Roman"/>
          <w:sz w:val="24"/>
          <w:lang w:val="en-US"/>
        </w:rPr>
        <w:t>-</w:t>
      </w:r>
      <w:r w:rsidRPr="0021362B">
        <w:rPr>
          <w:rFonts w:ascii="Times New Roman" w:hAnsi="Times New Roman" w:cs="Times New Roman"/>
          <w:sz w:val="24"/>
          <w:lang w:val="ru-RU"/>
        </w:rPr>
        <w:t>практична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конференція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</w:t>
      </w:r>
      <w:r w:rsidRPr="0021362B">
        <w:rPr>
          <w:rFonts w:ascii="Times New Roman" w:hAnsi="Times New Roman" w:cs="Times New Roman"/>
          <w:sz w:val="24"/>
          <w:lang w:val="ru-RU"/>
        </w:rPr>
        <w:t>ІОН</w:t>
      </w:r>
      <w:r w:rsidRPr="00671F88">
        <w:rPr>
          <w:rFonts w:ascii="Times New Roman" w:hAnsi="Times New Roman" w:cs="Times New Roman"/>
          <w:sz w:val="24"/>
          <w:lang w:val="en-US"/>
        </w:rPr>
        <w:t xml:space="preserve"> – 2012. </w:t>
      </w:r>
      <w:r w:rsidRPr="0021362B">
        <w:rPr>
          <w:rFonts w:ascii="Times New Roman" w:hAnsi="Times New Roman" w:cs="Times New Roman"/>
          <w:sz w:val="24"/>
          <w:lang w:val="ru-RU"/>
        </w:rPr>
        <w:t>Збірник праць. – Вінниця: ВНТУ, 2012. – С. 164. ISBN 978-966-641-491-8.</w:t>
      </w:r>
    </w:p>
    <w:p w:rsidR="00912721" w:rsidRDefault="004B5494" w:rsidP="00A948CF">
      <w:pPr>
        <w:pStyle w:val="ListParagraph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4753E3">
        <w:rPr>
          <w:rFonts w:ascii="Times New Roman" w:hAnsi="Times New Roman" w:cs="Times New Roman"/>
          <w:sz w:val="24"/>
        </w:rPr>
        <w:t xml:space="preserve">Скорохода О. В. Засоби оцінювання параметрів динамічних об’єктів на основі нейромережевого сингулярного спектрального аналізу </w:t>
      </w:r>
      <w:r w:rsidRPr="004753E3">
        <w:rPr>
          <w:rFonts w:ascii="Times New Roman" w:hAnsi="Times New Roman" w:cs="Times New Roman"/>
          <w:sz w:val="24"/>
          <w:lang w:val="ru-RU"/>
        </w:rPr>
        <w:t>/</w:t>
      </w:r>
      <w:r w:rsidRPr="004753E3">
        <w:rPr>
          <w:rFonts w:ascii="Times New Roman" w:hAnsi="Times New Roman" w:cs="Times New Roman"/>
          <w:sz w:val="24"/>
        </w:rPr>
        <w:t>О. В. Скорохода, Б. Р. Андрієцький</w:t>
      </w:r>
      <w:r w:rsidRPr="004753E3">
        <w:rPr>
          <w:rFonts w:ascii="Times New Roman" w:hAnsi="Times New Roman" w:cs="Times New Roman"/>
          <w:sz w:val="24"/>
          <w:lang w:val="ru-RU"/>
        </w:rPr>
        <w:t>// Науковий вісник НЛТУ України. – 2012. – Вип. 22.11</w:t>
      </w:r>
    </w:p>
    <w:p w:rsidR="004753E3" w:rsidRDefault="004753E3" w:rsidP="00A948CF">
      <w:pPr>
        <w:pStyle w:val="ListParagraph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4753E3">
        <w:rPr>
          <w:rFonts w:ascii="Times New Roman" w:hAnsi="Times New Roman" w:cs="Times New Roman"/>
          <w:sz w:val="24"/>
          <w:lang w:val="ru-RU"/>
        </w:rPr>
        <w:t xml:space="preserve">Федосов Б. Т. Классификация и свойства динамических объектов / Б.Т. Федосов. Режим доступу: </w:t>
      </w:r>
      <w:hyperlink r:id="rId6" w:history="1">
        <w:r w:rsidR="0021362B" w:rsidRPr="00EC069F">
          <w:rPr>
            <w:rStyle w:val="Hyperlink"/>
            <w:rFonts w:ascii="Times New Roman" w:hAnsi="Times New Roman" w:cs="Times New Roman"/>
            <w:sz w:val="24"/>
            <w:lang w:val="ru-RU"/>
          </w:rPr>
          <w:t>http://www.model.exponenta.ru/bt/bt_0414_Din_Obj_1.html</w:t>
        </w:r>
      </w:hyperlink>
    </w:p>
    <w:sectPr w:rsidR="004753E3" w:rsidSect="005C50C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A4E"/>
    <w:multiLevelType w:val="hybridMultilevel"/>
    <w:tmpl w:val="849E2C96"/>
    <w:lvl w:ilvl="0" w:tplc="B9BC1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921692"/>
    <w:multiLevelType w:val="hybridMultilevel"/>
    <w:tmpl w:val="426EE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28D"/>
    <w:multiLevelType w:val="hybridMultilevel"/>
    <w:tmpl w:val="7FBE2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09"/>
    <w:rsid w:val="00002757"/>
    <w:rsid w:val="000045BD"/>
    <w:rsid w:val="00095243"/>
    <w:rsid w:val="0019431C"/>
    <w:rsid w:val="0019631D"/>
    <w:rsid w:val="001C11C9"/>
    <w:rsid w:val="001D47CA"/>
    <w:rsid w:val="0021362B"/>
    <w:rsid w:val="00234713"/>
    <w:rsid w:val="0026779E"/>
    <w:rsid w:val="00272F03"/>
    <w:rsid w:val="002F585F"/>
    <w:rsid w:val="0031382C"/>
    <w:rsid w:val="00355300"/>
    <w:rsid w:val="003D1E5F"/>
    <w:rsid w:val="004176C1"/>
    <w:rsid w:val="004753E3"/>
    <w:rsid w:val="004A6678"/>
    <w:rsid w:val="004B5494"/>
    <w:rsid w:val="004C1187"/>
    <w:rsid w:val="004E6095"/>
    <w:rsid w:val="00563398"/>
    <w:rsid w:val="00582D9D"/>
    <w:rsid w:val="005960B1"/>
    <w:rsid w:val="005C4541"/>
    <w:rsid w:val="005C50CC"/>
    <w:rsid w:val="00602B8A"/>
    <w:rsid w:val="00613FCC"/>
    <w:rsid w:val="00671F88"/>
    <w:rsid w:val="006826D0"/>
    <w:rsid w:val="00684821"/>
    <w:rsid w:val="006E2951"/>
    <w:rsid w:val="007221D6"/>
    <w:rsid w:val="00757A3A"/>
    <w:rsid w:val="00782CD2"/>
    <w:rsid w:val="007C7A38"/>
    <w:rsid w:val="007C7F17"/>
    <w:rsid w:val="007D5DB0"/>
    <w:rsid w:val="007E6EB6"/>
    <w:rsid w:val="007E7020"/>
    <w:rsid w:val="00805414"/>
    <w:rsid w:val="0082543E"/>
    <w:rsid w:val="00851445"/>
    <w:rsid w:val="00854011"/>
    <w:rsid w:val="00912721"/>
    <w:rsid w:val="00940308"/>
    <w:rsid w:val="009E50FB"/>
    <w:rsid w:val="00A47B38"/>
    <w:rsid w:val="00A948CF"/>
    <w:rsid w:val="00A9507F"/>
    <w:rsid w:val="00AA1142"/>
    <w:rsid w:val="00B16905"/>
    <w:rsid w:val="00B66207"/>
    <w:rsid w:val="00B95309"/>
    <w:rsid w:val="00BC54DA"/>
    <w:rsid w:val="00C76BC3"/>
    <w:rsid w:val="00CF6EA2"/>
    <w:rsid w:val="00D411F2"/>
    <w:rsid w:val="00D52CA0"/>
    <w:rsid w:val="00D67EA7"/>
    <w:rsid w:val="00D77486"/>
    <w:rsid w:val="00D90FFD"/>
    <w:rsid w:val="00DC1ADB"/>
    <w:rsid w:val="00DE6B5B"/>
    <w:rsid w:val="00DF14CB"/>
    <w:rsid w:val="00EB372E"/>
    <w:rsid w:val="00EB7509"/>
    <w:rsid w:val="00F11AEF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7E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7E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el.exponenta.ru/bt/bt_0414_Din_Obj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57</cp:revision>
  <dcterms:created xsi:type="dcterms:W3CDTF">2013-04-06T16:16:00Z</dcterms:created>
  <dcterms:modified xsi:type="dcterms:W3CDTF">2013-04-25T19:01:00Z</dcterms:modified>
</cp:coreProperties>
</file>