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6D9" w:rsidRPr="005007FA" w:rsidRDefault="001E7086" w:rsidP="00E36160">
      <w:pPr>
        <w:ind w:firstLine="540"/>
        <w:jc w:val="both"/>
        <w:rPr>
          <w:b/>
          <w:sz w:val="28"/>
          <w:szCs w:val="28"/>
          <w:lang w:val="en-US"/>
        </w:rPr>
      </w:pPr>
      <w:r w:rsidRPr="001E7086">
        <w:rPr>
          <w:b/>
          <w:sz w:val="28"/>
          <w:szCs w:val="28"/>
          <w:lang w:val="uk-UA"/>
        </w:rPr>
        <w:t>УДК</w:t>
      </w:r>
      <w:r w:rsidR="005007FA">
        <w:rPr>
          <w:b/>
          <w:sz w:val="28"/>
          <w:szCs w:val="28"/>
          <w:lang w:val="en-US"/>
        </w:rPr>
        <w:t xml:space="preserve"> 330.341.1</w:t>
      </w:r>
    </w:p>
    <w:p w:rsidR="001E7086" w:rsidRPr="001E7086" w:rsidRDefault="001E7086" w:rsidP="00E36160">
      <w:pPr>
        <w:ind w:firstLine="540"/>
        <w:jc w:val="right"/>
        <w:rPr>
          <w:b/>
          <w:sz w:val="28"/>
          <w:szCs w:val="28"/>
          <w:lang w:val="uk-UA"/>
        </w:rPr>
      </w:pPr>
      <w:proofErr w:type="spellStart"/>
      <w:r w:rsidRPr="001E7086">
        <w:rPr>
          <w:b/>
          <w:sz w:val="28"/>
          <w:szCs w:val="28"/>
          <w:lang w:val="uk-UA"/>
        </w:rPr>
        <w:t>Заюков</w:t>
      </w:r>
      <w:proofErr w:type="spellEnd"/>
      <w:r w:rsidRPr="001E7086">
        <w:rPr>
          <w:b/>
          <w:sz w:val="28"/>
          <w:szCs w:val="28"/>
          <w:lang w:val="uk-UA"/>
        </w:rPr>
        <w:t xml:space="preserve"> Іван Вікторович, </w:t>
      </w:r>
      <w:r w:rsidR="00DB6235">
        <w:rPr>
          <w:b/>
          <w:sz w:val="28"/>
          <w:szCs w:val="28"/>
          <w:lang w:val="en-US"/>
        </w:rPr>
        <w:t xml:space="preserve"> </w:t>
      </w:r>
      <w:r w:rsidR="004F7D7E">
        <w:rPr>
          <w:b/>
          <w:sz w:val="28"/>
          <w:szCs w:val="28"/>
          <w:lang w:val="uk-UA"/>
        </w:rPr>
        <w:t>канд</w:t>
      </w:r>
      <w:r w:rsidRPr="001E7086">
        <w:rPr>
          <w:b/>
          <w:sz w:val="28"/>
          <w:szCs w:val="28"/>
          <w:lang w:val="uk-UA"/>
        </w:rPr>
        <w:t>.</w:t>
      </w:r>
      <w:r w:rsidR="004F7D7E">
        <w:rPr>
          <w:b/>
          <w:sz w:val="28"/>
          <w:szCs w:val="28"/>
          <w:lang w:val="uk-UA"/>
        </w:rPr>
        <w:t xml:space="preserve"> </w:t>
      </w:r>
      <w:proofErr w:type="spellStart"/>
      <w:r w:rsidR="004F7D7E">
        <w:rPr>
          <w:b/>
          <w:sz w:val="28"/>
          <w:szCs w:val="28"/>
          <w:lang w:val="uk-UA"/>
        </w:rPr>
        <w:t>екон</w:t>
      </w:r>
      <w:proofErr w:type="spellEnd"/>
      <w:r w:rsidR="004F7D7E">
        <w:rPr>
          <w:b/>
          <w:sz w:val="28"/>
          <w:szCs w:val="28"/>
          <w:lang w:val="uk-UA"/>
        </w:rPr>
        <w:t>. наук</w:t>
      </w:r>
      <w:r w:rsidRPr="001E7086">
        <w:rPr>
          <w:b/>
          <w:sz w:val="28"/>
          <w:szCs w:val="28"/>
          <w:lang w:val="uk-UA"/>
        </w:rPr>
        <w:t>, доцент,</w:t>
      </w:r>
    </w:p>
    <w:p w:rsidR="001E7086" w:rsidRPr="001E7086" w:rsidRDefault="001E7086" w:rsidP="00E36160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Вінницький національний</w:t>
      </w:r>
      <w:r w:rsidRPr="001E7086">
        <w:rPr>
          <w:sz w:val="28"/>
          <w:szCs w:val="28"/>
          <w:lang w:val="uk-UA"/>
        </w:rPr>
        <w:t xml:space="preserve"> технічний університет</w:t>
      </w:r>
    </w:p>
    <w:p w:rsidR="00DF76D9" w:rsidRPr="001E7086" w:rsidRDefault="00DF76D9" w:rsidP="00E36160">
      <w:pPr>
        <w:ind w:firstLine="540"/>
        <w:jc w:val="both"/>
        <w:rPr>
          <w:sz w:val="28"/>
          <w:szCs w:val="28"/>
          <w:lang w:val="en-US"/>
        </w:rPr>
      </w:pPr>
    </w:p>
    <w:p w:rsidR="00EA3A8C" w:rsidRPr="00E36160" w:rsidRDefault="00E36160" w:rsidP="00E36160">
      <w:pPr>
        <w:ind w:firstLine="720"/>
        <w:jc w:val="center"/>
        <w:rPr>
          <w:b/>
          <w:sz w:val="28"/>
          <w:szCs w:val="28"/>
          <w:lang w:val="uk-UA"/>
        </w:rPr>
      </w:pPr>
      <w:r w:rsidRPr="00E36160">
        <w:rPr>
          <w:b/>
          <w:sz w:val="28"/>
          <w:szCs w:val="28"/>
          <w:lang w:val="uk-UA"/>
        </w:rPr>
        <w:t>ОСВІТНІЙ ЧИННИК ІННОВАЦІЙНОГО РОЗВИТКУ ЕКОНОМІКИ УКРАЇНИ</w:t>
      </w:r>
    </w:p>
    <w:p w:rsidR="00E36160" w:rsidRPr="00C86629" w:rsidRDefault="00E36160" w:rsidP="00E36160">
      <w:pPr>
        <w:ind w:firstLine="720"/>
        <w:jc w:val="both"/>
        <w:rPr>
          <w:sz w:val="28"/>
          <w:szCs w:val="28"/>
          <w:lang w:val="uk-UA"/>
        </w:rPr>
      </w:pPr>
    </w:p>
    <w:p w:rsidR="007B331A" w:rsidRPr="00C86629" w:rsidRDefault="007B331A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 xml:space="preserve">Для реалізації стратегічної мети України – побудови інноваційно-інвестиційної моделі розвитку – необхідно проаналізувати, які фактори цьому будуть сприяти. Так, найважливішими факторами, які забезпечують конкурентні переваги економіки, є наука, освіта, культура, технології. Саме освіта спрямована на </w:t>
      </w:r>
      <w:r>
        <w:rPr>
          <w:sz w:val="28"/>
          <w:szCs w:val="28"/>
          <w:lang w:val="uk-UA"/>
        </w:rPr>
        <w:t>побудову</w:t>
      </w:r>
      <w:r w:rsidRPr="00C86629">
        <w:rPr>
          <w:sz w:val="28"/>
          <w:szCs w:val="28"/>
          <w:lang w:val="uk-UA"/>
        </w:rPr>
        <w:t xml:space="preserve"> ефективної моделі «економіки знань». Від освіти, особливо вищої, залежить майбутній розвиток науки, технологій, у тому числі інформаційних, рівень підготовки фахівців та робітників тощо.</w:t>
      </w:r>
    </w:p>
    <w:p w:rsidR="0059436A" w:rsidRDefault="00D86524" w:rsidP="00DB6235">
      <w:pPr>
        <w:pStyle w:val="aa"/>
        <w:spacing w:line="240" w:lineRule="auto"/>
        <w:ind w:firstLine="567"/>
        <w:rPr>
          <w:szCs w:val="28"/>
          <w:lang w:val="uk-UA"/>
        </w:rPr>
      </w:pPr>
      <w:r>
        <w:rPr>
          <w:szCs w:val="28"/>
          <w:lang w:val="uk-UA"/>
        </w:rPr>
        <w:t>Відомо, що т</w:t>
      </w:r>
      <w:r w:rsidR="00EA3A8C" w:rsidRPr="00C86629">
        <w:rPr>
          <w:szCs w:val="28"/>
          <w:lang w:val="uk-UA"/>
        </w:rPr>
        <w:t>акі країни</w:t>
      </w:r>
      <w:r w:rsidR="00EA3A8C">
        <w:rPr>
          <w:szCs w:val="28"/>
          <w:lang w:val="uk-UA"/>
        </w:rPr>
        <w:t>,</w:t>
      </w:r>
      <w:r w:rsidR="00EA3A8C" w:rsidRPr="00C86629">
        <w:rPr>
          <w:szCs w:val="28"/>
          <w:lang w:val="uk-UA"/>
        </w:rPr>
        <w:t xml:space="preserve"> як США, Швейцарія, Данія та інші розвинуті країни досягнули конкурентних переваг, у тому числі за рахунок постійного розвитку освіти, інновацій, саморозвитку, реалізації творчої праці, здібностей, активності тощо. Успіх </w:t>
      </w:r>
      <w:r w:rsidR="00EA3A8C">
        <w:rPr>
          <w:szCs w:val="28"/>
          <w:lang w:val="uk-UA"/>
        </w:rPr>
        <w:t>згаданих</w:t>
      </w:r>
      <w:r w:rsidR="00EA3A8C" w:rsidRPr="00C86629">
        <w:rPr>
          <w:szCs w:val="28"/>
          <w:lang w:val="uk-UA"/>
        </w:rPr>
        <w:t xml:space="preserve"> країн полягає в тому, що більша частина валової доданої вартості формується в секторі економіки знань. Відомо, що саме знання сьогодні є вирішальними в забезпеченні зростання продуктивності праці</w:t>
      </w:r>
      <w:r w:rsidR="0059436A">
        <w:rPr>
          <w:szCs w:val="28"/>
          <w:lang w:val="uk-UA"/>
        </w:rPr>
        <w:t>.</w:t>
      </w: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>На превеликий жаль, Україна відстає від інших розвинених країн за показниками освіти, науки і технологій, хоча при цьому має високий рівень економічного, наукового і трудового потенціалу.</w:t>
      </w: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>Низький обсяг ВВП</w:t>
      </w:r>
      <w:r w:rsidR="00A7532D">
        <w:rPr>
          <w:sz w:val="28"/>
          <w:szCs w:val="28"/>
          <w:lang w:val="uk-UA"/>
        </w:rPr>
        <w:t>, який витрачається</w:t>
      </w:r>
      <w:r w:rsidRPr="00C86629">
        <w:rPr>
          <w:sz w:val="28"/>
          <w:szCs w:val="28"/>
          <w:lang w:val="uk-UA"/>
        </w:rPr>
        <w:t xml:space="preserve"> на розвиток науки</w:t>
      </w:r>
      <w:r w:rsidR="00A7532D">
        <w:rPr>
          <w:sz w:val="28"/>
          <w:szCs w:val="28"/>
          <w:lang w:val="uk-UA"/>
        </w:rPr>
        <w:t xml:space="preserve"> України (біля 1%</w:t>
      </w:r>
      <w:r w:rsidRPr="00C86629">
        <w:rPr>
          <w:sz w:val="28"/>
          <w:szCs w:val="28"/>
          <w:lang w:val="uk-UA"/>
        </w:rPr>
        <w:t>)</w:t>
      </w:r>
      <w:r w:rsidR="00DB6235">
        <w:rPr>
          <w:sz w:val="28"/>
          <w:szCs w:val="28"/>
          <w:lang w:val="uk-UA"/>
        </w:rPr>
        <w:t>,</w:t>
      </w:r>
      <w:r w:rsidRPr="00C86629">
        <w:rPr>
          <w:sz w:val="28"/>
          <w:szCs w:val="28"/>
          <w:lang w:val="uk-UA"/>
        </w:rPr>
        <w:t xml:space="preserve"> не дає змогу належним чином </w:t>
      </w:r>
      <w:r w:rsidR="00110B7D">
        <w:rPr>
          <w:sz w:val="28"/>
          <w:szCs w:val="28"/>
          <w:lang w:val="uk-UA"/>
        </w:rPr>
        <w:t>її фінансувати</w:t>
      </w:r>
      <w:r w:rsidRPr="00C86629">
        <w:rPr>
          <w:sz w:val="28"/>
          <w:szCs w:val="28"/>
          <w:lang w:val="uk-UA"/>
        </w:rPr>
        <w:t>. Про поглиблення розриву між рівнем наукових досліджень і впровадженням їх у виробництво свідчать такі дані: частка високотехнологічного е</w:t>
      </w:r>
      <w:r w:rsidR="00B97CDD">
        <w:rPr>
          <w:sz w:val="28"/>
          <w:szCs w:val="28"/>
          <w:lang w:val="uk-UA"/>
        </w:rPr>
        <w:t>кспорту в Україні становить біля</w:t>
      </w:r>
      <w:r w:rsidRPr="00C86629">
        <w:rPr>
          <w:sz w:val="28"/>
          <w:szCs w:val="28"/>
          <w:lang w:val="uk-UA"/>
        </w:rPr>
        <w:t xml:space="preserve"> 3</w:t>
      </w:r>
      <w:r w:rsidR="00B97CDD">
        <w:rPr>
          <w:sz w:val="28"/>
          <w:szCs w:val="28"/>
          <w:lang w:val="uk-UA"/>
        </w:rPr>
        <w:t>−4</w:t>
      </w:r>
      <w:r w:rsidRPr="00C86629">
        <w:rPr>
          <w:sz w:val="28"/>
          <w:szCs w:val="28"/>
          <w:lang w:val="uk-UA"/>
        </w:rPr>
        <w:t>%, т</w:t>
      </w:r>
      <w:r w:rsidR="00B97CDD">
        <w:rPr>
          <w:sz w:val="28"/>
          <w:szCs w:val="28"/>
          <w:lang w:val="uk-UA"/>
        </w:rPr>
        <w:t>оді як в розвинених країнах −</w:t>
      </w:r>
      <w:r w:rsidRPr="00C86629">
        <w:rPr>
          <w:sz w:val="28"/>
          <w:szCs w:val="28"/>
          <w:lang w:val="uk-UA"/>
        </w:rPr>
        <w:t xml:space="preserve"> 20% і більше, наприклад, у Нідерландах </w:t>
      </w:r>
      <w:r w:rsidR="00DB6235">
        <w:rPr>
          <w:sz w:val="28"/>
          <w:szCs w:val="28"/>
          <w:lang w:val="uk-UA"/>
        </w:rPr>
        <w:t xml:space="preserve"> і США близько 30%</w:t>
      </w:r>
      <w:r w:rsidRPr="00C86629">
        <w:rPr>
          <w:sz w:val="28"/>
          <w:szCs w:val="28"/>
          <w:lang w:val="uk-UA"/>
        </w:rPr>
        <w:t>. Небезпечною ситуацією є те, що талановиті студенти закінчують вітчизняні вузи (за кошти держави) і виїжджають за кордон, а там створюють продукцію із високою доданою вартістю, відповідно, сприяють розвитку ВВП інших країн. Росія почала збільшувати видатки на науку, а країни ЄС ухвалили рішення збільшити до 3% фінансування науки (за рахунок коштів держави і приватних надходжень)</w:t>
      </w:r>
      <w:r w:rsidR="00A97806">
        <w:rPr>
          <w:sz w:val="28"/>
          <w:szCs w:val="28"/>
          <w:lang w:val="uk-UA"/>
        </w:rPr>
        <w:t xml:space="preserve"> [1]</w:t>
      </w:r>
      <w:r w:rsidRPr="00C86629">
        <w:rPr>
          <w:sz w:val="28"/>
          <w:szCs w:val="28"/>
          <w:lang w:val="uk-UA"/>
        </w:rPr>
        <w:t>.</w:t>
      </w: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 xml:space="preserve">Нагальною потребою на сьогодні в напрямку розвитку науки є реальна підтримка справжніх технопарків, тобто потрібно розробляти комплекс ефективних заходів, які були б спрямовані на взаємодію університетів, наукових центрів і виробництва, і, як наслідок, на створення конкурентоспроможної на світовому і вітчизняному ринках продукції. Без </w:t>
      </w:r>
      <w:r w:rsidRPr="00C86629">
        <w:rPr>
          <w:sz w:val="28"/>
          <w:szCs w:val="28"/>
          <w:lang w:val="uk-UA"/>
        </w:rPr>
        <w:lastRenderedPageBreak/>
        <w:t xml:space="preserve">цього можна забути про пріоритети інноваційно-інвестиційного розвитку економіки нашої країни. </w:t>
      </w:r>
    </w:p>
    <w:p w:rsidR="00DB6235" w:rsidRDefault="00EA3A8C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 xml:space="preserve">Розглядаючи досвід розвинених країн, можна виділити головну рису – технопарки створюються при великих наукових центрах, а користувачами технопарків виступають маленькі приватні фірми, засновані, як правило, молодими вченими віком 25–35 років. Тому потрібно збільшувати обсяги фінансування на реальну науку зі створення конкурентоспроможної продукції, а не витрачати кошти на складання звітів про успішно виконані наукові дослідження. </w:t>
      </w: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>Варто змінити тенденції в інноваційній діяльності, оскільки в Україні зменшується кількість наукових розробок та представників, які займаються інноваційною діяльністю.  Держава має розробити нову концептуальну схему заохочень молодих вчених і отримати результат – конкурентоспроможну продукцію на світовому ринку продукції. Тільки нова концептуальна схема, в якій будуть ефективно функціонувати всі складові (якісна освіта – вчений – інновація – впровадження у виробництво – отримання ефекту), дасть змогу побудувати інноваційну модель –</w:t>
      </w:r>
      <w:r>
        <w:rPr>
          <w:sz w:val="28"/>
          <w:szCs w:val="28"/>
          <w:lang w:val="uk-UA"/>
        </w:rPr>
        <w:t xml:space="preserve"> </w:t>
      </w:r>
      <w:r w:rsidRPr="00C86629">
        <w:rPr>
          <w:sz w:val="28"/>
          <w:szCs w:val="28"/>
          <w:lang w:val="uk-UA"/>
        </w:rPr>
        <w:t xml:space="preserve">економіки знань в Україні. Крім того, для «омолодження» кадрів в науці необхідно розробляти комплекс мотиваційних заходів. </w:t>
      </w: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 xml:space="preserve">Нині Україна відчуває негативні наслідки світової фінансово-економічної кризи. Виникає необхідність в пошуку дієвих напрямків виходу з кризи та скороченні технологічного відставання від розвинених країн Європи, США, Японії та інших країн. Тому саме вища освіта дозволить здійснити успішний перехід від «індустріальної економіки»  до «економіки знань». </w:t>
      </w:r>
      <w:r w:rsidR="00B97CDD">
        <w:rPr>
          <w:sz w:val="28"/>
          <w:szCs w:val="28"/>
          <w:lang w:val="uk-UA"/>
        </w:rPr>
        <w:t xml:space="preserve"> </w:t>
      </w:r>
      <w:r w:rsidRPr="00C86629">
        <w:rPr>
          <w:sz w:val="28"/>
          <w:szCs w:val="28"/>
          <w:lang w:val="uk-UA"/>
        </w:rPr>
        <w:t>П’ятий технологічний уклад світового економічного розвитку базувався на мікроелектроніці, мобільному зв’язку, всесвітні</w:t>
      </w:r>
      <w:r>
        <w:rPr>
          <w:sz w:val="28"/>
          <w:szCs w:val="28"/>
          <w:lang w:val="uk-UA"/>
        </w:rPr>
        <w:t>й мережі Internet тощо. В основу</w:t>
      </w:r>
      <w:r w:rsidRPr="00C86629">
        <w:rPr>
          <w:sz w:val="28"/>
          <w:szCs w:val="28"/>
          <w:lang w:val="uk-UA"/>
        </w:rPr>
        <w:t xml:space="preserve"> цього укладу були покладені  знання, що стало вагоми</w:t>
      </w:r>
      <w:r>
        <w:rPr>
          <w:sz w:val="28"/>
          <w:szCs w:val="28"/>
          <w:lang w:val="uk-UA"/>
        </w:rPr>
        <w:t>м фактором виробництва та склало</w:t>
      </w:r>
      <w:r w:rsidRPr="00C86629">
        <w:rPr>
          <w:sz w:val="28"/>
          <w:szCs w:val="28"/>
          <w:lang w:val="uk-UA"/>
        </w:rPr>
        <w:t xml:space="preserve"> підґрунтя  формування «економіки знань». Багато вітчизняних та закордонних вчених наголошують, що саме людина як безпосередній генератор ідей і носій знань стає в цій економіці ядром виробничої системи, її найбільш цінним ресурсом.</w:t>
      </w:r>
    </w:p>
    <w:p w:rsidR="00EA3A8C" w:rsidRPr="00C86629" w:rsidRDefault="009631B3" w:rsidP="00DB62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роботі [2</w:t>
      </w:r>
      <w:r w:rsidR="00EA3A8C" w:rsidRPr="00C86629">
        <w:rPr>
          <w:sz w:val="28"/>
          <w:szCs w:val="28"/>
          <w:lang w:val="uk-UA"/>
        </w:rPr>
        <w:t>] аналізується природа сучасної фінансово-економічної кризи в світі, яка викликана вичерпністю потенціалу економічного розвитку п’ятого укладу, а в основі економічного піднесення має лежати новий – шостий технологічний уклад, основу якого мають сформувати біоінженерія, космічна хімія, генетика,</w:t>
      </w:r>
      <w:r w:rsidR="00EA3A8C">
        <w:rPr>
          <w:sz w:val="28"/>
          <w:szCs w:val="28"/>
          <w:lang w:val="uk-UA"/>
        </w:rPr>
        <w:t xml:space="preserve"> науки про людину. Тому в основу</w:t>
      </w:r>
      <w:r w:rsidR="00EA3A8C" w:rsidRPr="00C86629">
        <w:rPr>
          <w:sz w:val="28"/>
          <w:szCs w:val="28"/>
          <w:lang w:val="uk-UA"/>
        </w:rPr>
        <w:t xml:space="preserve"> розвитку економіки України має бути покладений високий потенціал людського розвитку і виведе</w:t>
      </w:r>
      <w:r w:rsidR="00EA3A8C">
        <w:rPr>
          <w:sz w:val="28"/>
          <w:szCs w:val="28"/>
          <w:lang w:val="uk-UA"/>
        </w:rPr>
        <w:t>ння його на якісно новий рівень</w:t>
      </w:r>
      <w:r w:rsidR="00EA3A8C" w:rsidRPr="00C86629">
        <w:rPr>
          <w:sz w:val="28"/>
          <w:szCs w:val="28"/>
          <w:lang w:val="uk-UA"/>
        </w:rPr>
        <w:t xml:space="preserve"> шляхом налагодження високотехнологічного виробництва, інвестування в розвиток високотехнологічних галузей науки.</w:t>
      </w: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>Отже, виникає питання: яким чином можна буде сформувати потужний людський, у тому числі науковий</w:t>
      </w:r>
      <w:r>
        <w:rPr>
          <w:sz w:val="28"/>
          <w:szCs w:val="28"/>
          <w:lang w:val="uk-UA"/>
        </w:rPr>
        <w:t xml:space="preserve"> потенціал</w:t>
      </w:r>
      <w:r w:rsidRPr="00C86629">
        <w:rPr>
          <w:sz w:val="28"/>
          <w:szCs w:val="28"/>
          <w:lang w:val="uk-UA"/>
        </w:rPr>
        <w:t xml:space="preserve">?. Відповідь, на </w:t>
      </w:r>
      <w:r w:rsidRPr="00C86629">
        <w:rPr>
          <w:sz w:val="28"/>
          <w:szCs w:val="28"/>
          <w:lang w:val="uk-UA"/>
        </w:rPr>
        <w:lastRenderedPageBreak/>
        <w:t>нашу думку, полягає в оптимізації та реформуванні системи освіти, у тому числі вищої. Відомо, що вища освіта кількісно і якісно відтворює наукові кадри країни. Аналіз показникі</w:t>
      </w:r>
      <w:r w:rsidR="0059436A">
        <w:rPr>
          <w:sz w:val="28"/>
          <w:szCs w:val="28"/>
          <w:lang w:val="uk-UA"/>
        </w:rPr>
        <w:t>в інноваційного розвитку (в 2012</w:t>
      </w:r>
      <w:r w:rsidRPr="00C86629">
        <w:rPr>
          <w:sz w:val="28"/>
          <w:szCs w:val="28"/>
          <w:lang w:val="uk-UA"/>
        </w:rPr>
        <w:t xml:space="preserve"> році порівняно з 2000 роком) України засвідчив, що ситуація з інноваціями погіршується.</w:t>
      </w: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>Проаналізувавши сучасний стан системи вищої освіти, враховуючи думки відомих вітчизняних науковців, експертів, спеціалістів</w:t>
      </w:r>
      <w:r>
        <w:rPr>
          <w:sz w:val="28"/>
          <w:szCs w:val="28"/>
          <w:lang w:val="uk-UA"/>
        </w:rPr>
        <w:t>, можна відмітити такі напрямки в</w:t>
      </w:r>
      <w:r w:rsidRPr="00C86629">
        <w:rPr>
          <w:sz w:val="28"/>
          <w:szCs w:val="28"/>
          <w:lang w:val="uk-UA"/>
        </w:rPr>
        <w:t>досконалення цієї системи, які дозволять, на нашу думку, сформувати потужний науковий та людський капітал в Україні, що має розглядатись як передумова формування «економіки знань» та розвитку конкурентоспроможності економіки нашої країни:</w:t>
      </w:r>
    </w:p>
    <w:p w:rsidR="00EA3A8C" w:rsidRPr="00C86629" w:rsidRDefault="00DB6235" w:rsidP="00DB6235">
      <w:pPr>
        <w:numPr>
          <w:ilvl w:val="0"/>
          <w:numId w:val="3"/>
        </w:numPr>
        <w:tabs>
          <w:tab w:val="clear" w:pos="1620"/>
          <w:tab w:val="num" w:pos="-18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3A8C" w:rsidRPr="00C86629">
        <w:rPr>
          <w:sz w:val="28"/>
          <w:szCs w:val="28"/>
          <w:lang w:val="uk-UA"/>
        </w:rPr>
        <w:t xml:space="preserve">удосконалити структурні складові системи освіти (розширити можливості абітурієнтів щодо вибору навчальних закладів в залежності від своїх здібностей, можливостей; посилити громадський нагляд за діяльністю університетів, особливо, що стосується якості </w:t>
      </w:r>
      <w:r w:rsidR="00EA3A8C">
        <w:rPr>
          <w:sz w:val="28"/>
          <w:szCs w:val="28"/>
          <w:lang w:val="uk-UA"/>
        </w:rPr>
        <w:t>надання послуг в них; підвищити</w:t>
      </w:r>
      <w:r w:rsidR="00EA3A8C" w:rsidRPr="00C86629">
        <w:rPr>
          <w:sz w:val="28"/>
          <w:szCs w:val="28"/>
          <w:lang w:val="uk-UA"/>
        </w:rPr>
        <w:t xml:space="preserve"> значення інтелектуалізації студентів, їх функціональності; впроваджувати інноваційні форми, методи навчання та наблизити процес навчання безпосередньо до потреб виробництва);</w:t>
      </w:r>
    </w:p>
    <w:p w:rsidR="00EA3A8C" w:rsidRPr="00C86629" w:rsidRDefault="00DB6235" w:rsidP="00DB6235">
      <w:pPr>
        <w:numPr>
          <w:ilvl w:val="0"/>
          <w:numId w:val="3"/>
        </w:numPr>
        <w:tabs>
          <w:tab w:val="clear" w:pos="1620"/>
          <w:tab w:val="num" w:pos="-18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3A8C" w:rsidRPr="00C86629">
        <w:rPr>
          <w:sz w:val="28"/>
          <w:szCs w:val="28"/>
          <w:lang w:val="uk-UA"/>
        </w:rPr>
        <w:t>змінити принципи добору абітурієнтів в вищих навчальних закладах (сучасна національна система незалежного оц</w:t>
      </w:r>
      <w:r w:rsidR="00EA3A8C">
        <w:rPr>
          <w:sz w:val="28"/>
          <w:szCs w:val="28"/>
          <w:lang w:val="uk-UA"/>
        </w:rPr>
        <w:t>інювання знань випускників шкіл</w:t>
      </w:r>
      <w:r w:rsidR="00EA3A8C" w:rsidRPr="00C86629">
        <w:rPr>
          <w:sz w:val="28"/>
          <w:szCs w:val="28"/>
          <w:lang w:val="uk-UA"/>
        </w:rPr>
        <w:t xml:space="preserve"> є корисною, але необхідно, на наш погляд, дати можливість всім бажаючим вступити до будь-якого вищого навчального закладу (з урахуванням мінімально встановлених критеріїв), а вже після першого року навчання застосувати принцип «відсіювання», що дасть змогу виявити внутрішні резерви (особливо щодо здібностей в науці) окремо взятого студента. Ця пропозиція і вирішить проблему звуження якісної </w:t>
      </w:r>
      <w:r w:rsidR="00EA3A8C">
        <w:rPr>
          <w:sz w:val="28"/>
          <w:szCs w:val="28"/>
          <w:lang w:val="uk-UA"/>
        </w:rPr>
        <w:t>бази поповнення наукових кадрів</w:t>
      </w:r>
      <w:r w:rsidR="00EA3A8C" w:rsidRPr="00C86629">
        <w:rPr>
          <w:sz w:val="28"/>
          <w:szCs w:val="28"/>
          <w:lang w:val="uk-UA"/>
        </w:rPr>
        <w:t xml:space="preserve"> за рахунок зарахування здібних на бюджетні місця, а в разі обмеженості цих місць, надати можливість студентам, щоб вони без відриву від навчання самостійно заробляли собі кошти (наприклад, в самому навчальному закладі, що практикується в потужних університетах США);</w:t>
      </w:r>
    </w:p>
    <w:p w:rsidR="00EA3A8C" w:rsidRPr="00C86629" w:rsidRDefault="00DB6235" w:rsidP="00DB6235">
      <w:pPr>
        <w:numPr>
          <w:ilvl w:val="0"/>
          <w:numId w:val="3"/>
        </w:numPr>
        <w:tabs>
          <w:tab w:val="clear" w:pos="1620"/>
          <w:tab w:val="num" w:pos="-18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3A8C" w:rsidRPr="00C86629">
        <w:rPr>
          <w:sz w:val="28"/>
          <w:szCs w:val="28"/>
          <w:lang w:val="uk-UA"/>
        </w:rPr>
        <w:t>забезпечити баланс на ринку праці та ринку освіти (тобто готувати фахівців для потре</w:t>
      </w:r>
      <w:r w:rsidR="00EA3A8C">
        <w:rPr>
          <w:sz w:val="28"/>
          <w:szCs w:val="28"/>
          <w:lang w:val="uk-UA"/>
        </w:rPr>
        <w:t>б розвитку економіки України) і</w:t>
      </w:r>
      <w:r w:rsidR="00EA3A8C" w:rsidRPr="00C86629">
        <w:rPr>
          <w:sz w:val="28"/>
          <w:szCs w:val="28"/>
          <w:lang w:val="uk-UA"/>
        </w:rPr>
        <w:t xml:space="preserve"> сформувати потужний попит з боку держави на інноваційну та наукомістку  продукцію;</w:t>
      </w:r>
    </w:p>
    <w:p w:rsidR="00EA3A8C" w:rsidRPr="00C86629" w:rsidRDefault="00DB6235" w:rsidP="00DB6235">
      <w:pPr>
        <w:numPr>
          <w:ilvl w:val="0"/>
          <w:numId w:val="3"/>
        </w:numPr>
        <w:tabs>
          <w:tab w:val="clear" w:pos="1620"/>
          <w:tab w:val="num" w:pos="-18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3A8C" w:rsidRPr="00C86629">
        <w:rPr>
          <w:sz w:val="28"/>
          <w:szCs w:val="28"/>
          <w:lang w:val="uk-UA"/>
        </w:rPr>
        <w:t>забезпечити тісну співпрацю вищих навчальних закладів з виробництвом та іноземними потужними університетами тощо;</w:t>
      </w:r>
    </w:p>
    <w:p w:rsidR="00EA3A8C" w:rsidRPr="00C86629" w:rsidRDefault="00DB6235" w:rsidP="00DB6235">
      <w:pPr>
        <w:numPr>
          <w:ilvl w:val="0"/>
          <w:numId w:val="3"/>
        </w:numPr>
        <w:tabs>
          <w:tab w:val="clear" w:pos="1620"/>
          <w:tab w:val="num" w:pos="-18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3A8C">
        <w:rPr>
          <w:sz w:val="28"/>
          <w:szCs w:val="28"/>
          <w:lang w:val="uk-UA"/>
        </w:rPr>
        <w:t>для</w:t>
      </w:r>
      <w:r w:rsidR="00EA3A8C" w:rsidRPr="00C86629">
        <w:rPr>
          <w:sz w:val="28"/>
          <w:szCs w:val="28"/>
          <w:lang w:val="uk-UA"/>
        </w:rPr>
        <w:t xml:space="preserve"> вирішення проблеми фінансуванн</w:t>
      </w:r>
      <w:r w:rsidR="00EA3A8C">
        <w:rPr>
          <w:sz w:val="28"/>
          <w:szCs w:val="28"/>
          <w:lang w:val="uk-UA"/>
        </w:rPr>
        <w:t xml:space="preserve">я вищих навчальних закладів </w:t>
      </w:r>
      <w:r w:rsidR="00EA3A8C" w:rsidRPr="00C86629">
        <w:rPr>
          <w:sz w:val="28"/>
          <w:szCs w:val="28"/>
          <w:lang w:val="uk-UA"/>
        </w:rPr>
        <w:t>вони мають стати самодостатніми та самостійно своїми науковими розробками заробляти додаткові гроші, про що свідчить досвід розвитку такої діяльності в розвинених країнах.</w:t>
      </w:r>
    </w:p>
    <w:p w:rsidR="00EA3A8C" w:rsidRDefault="00B97CDD" w:rsidP="00DB62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EA3A8C" w:rsidRPr="00C86629">
        <w:rPr>
          <w:sz w:val="28"/>
          <w:szCs w:val="28"/>
          <w:lang w:val="uk-UA"/>
        </w:rPr>
        <w:t xml:space="preserve">роботі запропонована модель системного підходу до </w:t>
      </w:r>
      <w:r w:rsidR="000427C7">
        <w:rPr>
          <w:sz w:val="28"/>
          <w:szCs w:val="28"/>
          <w:lang w:val="uk-UA"/>
        </w:rPr>
        <w:t xml:space="preserve">розвитку </w:t>
      </w:r>
      <w:r>
        <w:rPr>
          <w:sz w:val="28"/>
          <w:szCs w:val="28"/>
          <w:lang w:val="uk-UA"/>
        </w:rPr>
        <w:t>наукового</w:t>
      </w:r>
      <w:r w:rsidR="00EA3A8C" w:rsidRPr="00C86629">
        <w:rPr>
          <w:sz w:val="28"/>
          <w:szCs w:val="28"/>
          <w:lang w:val="uk-UA"/>
        </w:rPr>
        <w:t xml:space="preserve"> потенціалу </w:t>
      </w:r>
      <w:r>
        <w:rPr>
          <w:sz w:val="28"/>
          <w:szCs w:val="28"/>
          <w:lang w:val="uk-UA"/>
        </w:rPr>
        <w:t>(рисунок 1)</w:t>
      </w:r>
      <w:r w:rsidR="00EA3A8C" w:rsidRPr="00C86629">
        <w:rPr>
          <w:sz w:val="28"/>
          <w:szCs w:val="28"/>
          <w:lang w:val="uk-UA"/>
        </w:rPr>
        <w:t xml:space="preserve">. </w:t>
      </w:r>
    </w:p>
    <w:p w:rsidR="00C62C95" w:rsidRDefault="00C62C95" w:rsidP="00DB6235">
      <w:pPr>
        <w:ind w:firstLine="567"/>
        <w:jc w:val="both"/>
        <w:rPr>
          <w:sz w:val="28"/>
          <w:szCs w:val="28"/>
          <w:lang w:val="uk-UA"/>
        </w:rPr>
      </w:pPr>
    </w:p>
    <w:p w:rsidR="00C62C95" w:rsidRPr="00C86629" w:rsidRDefault="001D48C1" w:rsidP="00DB6235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</w:rPr>
        <w:lastRenderedPageBreak/>
        <w:pict>
          <v:group id="_x0000_s1124" style="position:absolute;left:0;text-align:left;margin-left:0;margin-top:14.55pt;width:451pt;height:307.35pt;z-index:251708416" coordorigin="1418,1732" coordsize="9020,614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left:2399;top:3712;width:2135;height:1080" o:regroupid="1">
              <v:textbox style="mso-next-textbox:#_x0000_s1075" inset=".5mm,1mm,.5mm,.3mm">
                <w:txbxContent>
                  <w:p w:rsidR="00B97CDD" w:rsidRPr="00595489" w:rsidRDefault="00B97CDD" w:rsidP="00B97CDD">
                    <w:pPr>
                      <w:jc w:val="center"/>
                      <w:rPr>
                        <w:b/>
                        <w:sz w:val="22"/>
                        <w:szCs w:val="22"/>
                        <w:lang w:val="uk-UA"/>
                      </w:rPr>
                    </w:pPr>
                    <w:r w:rsidRPr="00595489">
                      <w:rPr>
                        <w:b/>
                        <w:sz w:val="22"/>
                        <w:szCs w:val="22"/>
                        <w:lang w:val="uk-UA"/>
                      </w:rPr>
                      <w:t>Навчальні заклади</w:t>
                    </w:r>
                  </w:p>
                  <w:p w:rsidR="00B97CDD" w:rsidRPr="00595489" w:rsidRDefault="00B97CDD" w:rsidP="00B97CDD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595489">
                      <w:rPr>
                        <w:sz w:val="22"/>
                        <w:szCs w:val="22"/>
                        <w:lang w:val="uk-UA"/>
                      </w:rPr>
                      <w:t>(вищі та професійно-технічні)</w:t>
                    </w:r>
                  </w:p>
                </w:txbxContent>
              </v:textbox>
            </v:shape>
            <v:shape id="_x0000_s1076" type="#_x0000_t202" style="position:absolute;left:7486;top:3712;width:2135;height:1080" o:regroupid="1">
              <v:textbox style="mso-next-textbox:#_x0000_s1076" inset=".5mm,1mm,.5mm,.3mm">
                <w:txbxContent>
                  <w:p w:rsidR="00B97CDD" w:rsidRPr="00595489" w:rsidRDefault="00B97CDD" w:rsidP="00B97CDD">
                    <w:pPr>
                      <w:jc w:val="center"/>
                      <w:rPr>
                        <w:b/>
                        <w:sz w:val="22"/>
                        <w:szCs w:val="22"/>
                        <w:lang w:val="uk-UA"/>
                      </w:rPr>
                    </w:pPr>
                    <w:r w:rsidRPr="00595489">
                      <w:rPr>
                        <w:b/>
                        <w:sz w:val="22"/>
                        <w:szCs w:val="22"/>
                        <w:lang w:val="uk-UA"/>
                      </w:rPr>
                      <w:t xml:space="preserve">Виробництво </w:t>
                    </w:r>
                  </w:p>
                  <w:p w:rsidR="00B97CDD" w:rsidRPr="00595489" w:rsidRDefault="00B97CDD" w:rsidP="00B97CDD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595489">
                      <w:rPr>
                        <w:sz w:val="22"/>
                        <w:szCs w:val="22"/>
                        <w:lang w:val="uk-UA"/>
                      </w:rPr>
                      <w:t>(підприємства, установи, організації)</w:t>
                    </w:r>
                  </w:p>
                </w:txbxContent>
              </v:textbox>
            </v:shape>
            <v:shape id="_x0000_s1077" type="#_x0000_t202" style="position:absolute;left:4862;top:1732;width:2135;height:360" o:regroupid="1">
              <v:textbox style="mso-next-textbox:#_x0000_s1077" inset=".5mm,1mm,.5mm,.3mm">
                <w:txbxContent>
                  <w:p w:rsidR="00B97CDD" w:rsidRPr="00B117FF" w:rsidRDefault="00B97CDD" w:rsidP="00B97CDD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 xml:space="preserve">Наука </w:t>
                    </w:r>
                  </w:p>
                </w:txbxContent>
              </v:textbox>
            </v:shape>
            <v:shape id="_x0000_s1078" type="#_x0000_t202" style="position:absolute;left:2402;top:3172;width:1804;height:360" o:regroupid="1" stroked="f">
              <v:textbox style="mso-next-textbox:#_x0000_s1078" inset=".5mm,.3mm,.5mm,0">
                <w:txbxContent>
                  <w:p w:rsidR="00B97CDD" w:rsidRPr="00595489" w:rsidRDefault="00B97CDD" w:rsidP="00B97CDD">
                    <w:pPr>
                      <w:rPr>
                        <w:sz w:val="22"/>
                        <w:szCs w:val="22"/>
                        <w:lang w:val="uk-UA"/>
                      </w:rPr>
                    </w:pPr>
                    <w:r w:rsidRPr="00595489">
                      <w:rPr>
                        <w:sz w:val="22"/>
                        <w:szCs w:val="22"/>
                        <w:lang w:val="uk-UA"/>
                      </w:rPr>
                      <w:t>Теоретичний курс</w:t>
                    </w:r>
                  </w:p>
                </w:txbxContent>
              </v:textbox>
            </v:shape>
            <v:shape id="_x0000_s1079" type="#_x0000_t202" style="position:absolute;left:7486;top:4972;width:2624;height:540" o:regroupid="1" stroked="f">
              <v:textbox style="mso-next-textbox:#_x0000_s1079" inset=".5mm,.3mm,.5mm,0">
                <w:txbxContent>
                  <w:p w:rsidR="00B97CDD" w:rsidRPr="00E517B7" w:rsidRDefault="00B97CDD" w:rsidP="00B97CDD">
                    <w:pPr>
                      <w:rPr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 xml:space="preserve">Впровадження інноваційних технологій </w:t>
                    </w:r>
                  </w:p>
                </w:txbxContent>
              </v:textbox>
            </v:shape>
            <v:shape id="_x0000_s1082" type="#_x0000_t202" style="position:absolute;left:4698;top:4072;width:2624;height:360" o:regroupid="1" stroked="f">
              <v:textbox style="mso-next-textbox:#_x0000_s1082" inset=".5mm,.3mm,.5mm,0">
                <w:txbxContent>
                  <w:p w:rsidR="00B97CDD" w:rsidRPr="00E517B7" w:rsidRDefault="00B97CDD" w:rsidP="00B97CDD">
                    <w:pPr>
                      <w:spacing w:before="120"/>
                      <w:jc w:val="center"/>
                      <w:rPr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>Стажування учнів, студентів</w:t>
                    </w:r>
                  </w:p>
                </w:txbxContent>
              </v:textbox>
            </v:shape>
            <v:shape id="_x0000_s1083" type="#_x0000_t202" style="position:absolute;left:4862;top:4612;width:2460;height:540" o:regroupid="1" stroked="f">
              <v:textbox style="mso-next-textbox:#_x0000_s1083" inset=".5mm,.3mm,.5mm,0">
                <w:txbxContent>
                  <w:p w:rsidR="00B97CDD" w:rsidRPr="00E517B7" w:rsidRDefault="00B97CDD" w:rsidP="00B97CDD">
                    <w:pPr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E517B7">
                      <w:rPr>
                        <w:sz w:val="18"/>
                        <w:szCs w:val="18"/>
                        <w:lang w:val="uk-UA"/>
                      </w:rPr>
                      <w:t>Підвищення кваліфікації викладачів</w:t>
                    </w:r>
                  </w:p>
                  <w:p w:rsidR="00110B7D" w:rsidRDefault="00110B7D"/>
                </w:txbxContent>
              </v:textbox>
            </v:shape>
            <v:line id="_x0000_s1084" style="position:absolute" from="9618,4252" to="10274,4252" o:regroupid="1"/>
            <v:line id="_x0000_s1085" style="position:absolute" from="10274,4252" to="10274,6772" o:regroupid="1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86" type="#_x0000_t13" style="position:absolute;left:9782;top:5152;width:492;height:180" o:regroupid="1"/>
            <v:shape id="_x0000_s1087" type="#_x0000_t202" style="position:absolute;left:7814;top:3172;width:2296;height:360" o:regroupid="1" stroked="f">
              <v:textbox style="mso-next-textbox:#_x0000_s1087" inset=".5mm,.3mm,.5mm,0">
                <w:txbxContent>
                  <w:p w:rsidR="00B97CDD" w:rsidRPr="00B117FF" w:rsidRDefault="00B97CDD" w:rsidP="00B97CDD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Виробнича практика</w:t>
                    </w:r>
                  </w:p>
                </w:txbxContent>
              </v:textbox>
            </v:shape>
            <v:shape id="_x0000_s1088" type="#_x0000_t202" style="position:absolute;left:7486;top:5512;width:2624;height:720" o:regroupid="1" stroked="f">
              <v:textbox style="mso-next-textbox:#_x0000_s1088" inset=".5mm,.3mm,.5mm,0">
                <w:txbxContent>
                  <w:p w:rsidR="00B97CDD" w:rsidRPr="00E517B7" w:rsidRDefault="00B97CDD" w:rsidP="00B97CDD">
                    <w:pPr>
                      <w:rPr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 xml:space="preserve">Наявність сучасного високопродуктивного обладнання </w:t>
                    </w:r>
                  </w:p>
                </w:txbxContent>
              </v:textbox>
            </v:shape>
            <v:shape id="_x0000_s1089" type="#_x0000_t202" style="position:absolute;left:7486;top:6412;width:2296;height:720" o:regroupid="1" stroked="f">
              <v:textbox style="mso-next-textbox:#_x0000_s1089" inset=".5mm,.3mm,.5mm,0">
                <w:txbxContent>
                  <w:p w:rsidR="00B97CDD" w:rsidRPr="00E517B7" w:rsidRDefault="00B97CDD" w:rsidP="00B97CDD">
                    <w:pPr>
                      <w:rPr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 xml:space="preserve">Наявність високопрофесійних і досвідчених спеціалістів </w:t>
                    </w:r>
                  </w:p>
                </w:txbxContent>
              </v:textbox>
            </v:shape>
            <v:shape id="_x0000_s1090" type="#_x0000_t13" style="position:absolute;left:9782;top:5692;width:492;height:180" o:regroupid="1"/>
            <v:shape id="_x0000_s1091" type="#_x0000_t13" style="position:absolute;left:9782;top:6592;width:492;height:180" o:regroupid="1"/>
            <v:shape id="_x0000_s1092" type="#_x0000_t202" style="position:absolute;left:4609;top:3712;width:2788;height:360" o:regroupid="1" stroked="f">
              <v:textbox style="mso-next-textbox:#_x0000_s1092" inset=".5mm,.3mm,.5mm,0">
                <w:txbxContent>
                  <w:p w:rsidR="00B97CDD" w:rsidRPr="00595489" w:rsidRDefault="00B97CDD" w:rsidP="00B97CDD">
                    <w:pPr>
                      <w:spacing w:before="120"/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595489">
                      <w:rPr>
                        <w:sz w:val="18"/>
                        <w:szCs w:val="18"/>
                        <w:lang w:val="uk-UA"/>
                      </w:rPr>
                      <w:t>Замовлення кадрів</w:t>
                    </w:r>
                    <w:r w:rsidRPr="00595489">
                      <w:rPr>
                        <w:sz w:val="16"/>
                        <w:szCs w:val="16"/>
                        <w:lang w:val="uk-UA"/>
                      </w:rPr>
                      <w:t xml:space="preserve"> +</w:t>
                    </w:r>
                    <w:r>
                      <w:rPr>
                        <w:sz w:val="20"/>
                        <w:szCs w:val="20"/>
                        <w:lang w:val="uk-UA"/>
                      </w:rPr>
                      <w:t xml:space="preserve"> </w:t>
                    </w:r>
                    <w:r w:rsidRPr="00595489">
                      <w:rPr>
                        <w:sz w:val="18"/>
                        <w:szCs w:val="18"/>
                        <w:lang w:val="uk-UA"/>
                      </w:rPr>
                      <w:t>фінансування</w:t>
                    </w:r>
                  </w:p>
                </w:txbxContent>
              </v:textbox>
            </v:shape>
            <v:line id="_x0000_s1093" style="position:absolute" from="1746,4252" to="2402,4252" o:regroupid="1"/>
            <v:line id="_x0000_s1094" style="position:absolute" from="1746,4252" to="1746,6772" o:regroupid="1"/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095" type="#_x0000_t66" style="position:absolute;left:1746;top:5152;width:492;height:180" o:regroupid="1"/>
            <v:shape id="_x0000_s1096" type="#_x0000_t202" style="position:absolute;left:2402;top:4972;width:2460;height:540" o:regroupid="1" stroked="f">
              <v:textbox style="mso-next-textbox:#_x0000_s1096" inset=".5mm,.3mm,.5mm,0">
                <w:txbxContent>
                  <w:p w:rsidR="00B97CDD" w:rsidRPr="00E517B7" w:rsidRDefault="00B97CDD" w:rsidP="00B97CDD">
                    <w:pPr>
                      <w:rPr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 xml:space="preserve">Удосконалення матеріально-технічної бази закладів </w:t>
                    </w:r>
                  </w:p>
                </w:txbxContent>
              </v:textbox>
            </v:shape>
            <v:shape id="_x0000_s1097" type="#_x0000_t202" style="position:absolute;left:2402;top:5512;width:2460;height:540" o:regroupid="1" stroked="f">
              <v:textbox style="mso-next-textbox:#_x0000_s1097" inset=".5mm,.3mm,.5mm,0">
                <w:txbxContent>
                  <w:p w:rsidR="00B97CDD" w:rsidRPr="00E517B7" w:rsidRDefault="00B97CDD" w:rsidP="00B97CDD">
                    <w:pPr>
                      <w:rPr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 xml:space="preserve"> </w:t>
                    </w:r>
                  </w:p>
                </w:txbxContent>
              </v:textbox>
            </v:shape>
            <v:shape id="_x0000_s1098" type="#_x0000_t66" style="position:absolute;left:1746;top:5692;width:492;height:180" o:regroupid="1"/>
            <v:line id="_x0000_s1099" style="position:absolute;flip:x" from="4609,3712" to="7561,3712" o:regroupid="1">
              <v:stroke endarrow="block"/>
            </v:line>
            <v:shape id="_x0000_s1100" type="#_x0000_t202" style="position:absolute;left:4534;top:2992;width:2788;height:360" o:regroupid="1" stroked="f">
              <v:textbox style="mso-next-textbox:#_x0000_s1100" inset=".5mm,.3mm,.5mm,0">
                <w:txbxContent>
                  <w:p w:rsidR="00B97CDD" w:rsidRPr="00E517B7" w:rsidRDefault="00B97CDD" w:rsidP="00B97CDD">
                    <w:pPr>
                      <w:spacing w:before="120"/>
                      <w:jc w:val="center"/>
                      <w:rPr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>Передача сучасного досвіду</w:t>
                    </w:r>
                  </w:p>
                </w:txbxContent>
              </v:textbox>
            </v:shape>
            <v:line id="_x0000_s1101" style="position:absolute" from="4698,4530" to="7486,4530" o:regroupid="1">
              <v:stroke endarrow="block"/>
            </v:line>
            <v:shape id="_x0000_s1102" type="#_x0000_t202" style="position:absolute;left:2402;top:5512;width:2460;height:540" o:regroupid="1" stroked="f">
              <v:textbox style="mso-next-textbox:#_x0000_s1102" inset=".5mm,.3mm,.5mm,0">
                <w:txbxContent>
                  <w:p w:rsidR="00B97CDD" w:rsidRPr="00E517B7" w:rsidRDefault="00B97CDD" w:rsidP="00B97CDD">
                    <w:pPr>
                      <w:rPr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 xml:space="preserve">Реалізація інноваційних технологій підготовки </w:t>
                    </w:r>
                  </w:p>
                </w:txbxContent>
              </v:textbox>
            </v:shape>
            <v:shape id="_x0000_s1103" type="#_x0000_t202" style="position:absolute;left:2402;top:6052;width:2460;height:900" o:regroupid="1" stroked="f">
              <v:textbox style="mso-next-textbox:#_x0000_s1103" inset=".5mm,.3mm,.5mm,0">
                <w:txbxContent>
                  <w:p w:rsidR="00B97CDD" w:rsidRPr="00E517B7" w:rsidRDefault="00B97CDD" w:rsidP="00B97CDD">
                    <w:pPr>
                      <w:rPr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sz w:val="20"/>
                        <w:szCs w:val="20"/>
                        <w:lang w:val="uk-UA"/>
                      </w:rPr>
                      <w:t xml:space="preserve">Реалізація концепції безперервного професійного навчання кадрів впродовж життя </w:t>
                    </w:r>
                  </w:p>
                </w:txbxContent>
              </v:textbox>
            </v:shape>
            <v:shape id="_x0000_s1104" type="#_x0000_t66" style="position:absolute;left:1746;top:6592;width:492;height:180" o:regroupid="1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05" type="#_x0000_t67" style="position:absolute;left:5846;top:2092;width:164;height:360" o:regroupid="1" fillcolor="#ff9"/>
            <v:shape id="_x0000_s1106" type="#_x0000_t202" style="position:absolute;left:4862;top:2452;width:2135;height:360" o:regroupid="1">
              <v:textbox style="mso-next-textbox:#_x0000_s1106" inset=".5mm,1mm,.5mm,.3mm">
                <w:txbxContent>
                  <w:p w:rsidR="00B97CDD" w:rsidRPr="007F43EE" w:rsidRDefault="00B97CDD" w:rsidP="00B97CDD">
                    <w:pPr>
                      <w:jc w:val="center"/>
                      <w:rPr>
                        <w:lang w:val="uk-UA"/>
                      </w:rPr>
                    </w:pPr>
                    <w:r w:rsidRPr="007F43EE">
                      <w:rPr>
                        <w:lang w:val="uk-UA"/>
                      </w:rPr>
                      <w:t xml:space="preserve">Інновації </w:t>
                    </w:r>
                  </w:p>
                </w:txbxContent>
              </v:textbox>
            </v:shape>
            <v:line id="_x0000_s1107" style="position:absolute;flip:x" from="4042,2650" to="4862,3550" o:regroupid="1">
              <v:stroke startarrow="block" endarrow="block"/>
            </v:line>
            <v:line id="_x0000_s1108" style="position:absolute" from="6994,2632" to="7814,3391" o:regroupid="1">
              <v:stroke startarrow="block" endarrow="block"/>
            </v:line>
            <v:line id="_x0000_s1109" style="position:absolute" from="1418,1912" to="1418,7852" o:regroupid="1" strokeweight="1pt">
              <v:stroke dashstyle="dash"/>
            </v:line>
            <v:line id="_x0000_s1110" style="position:absolute" from="10438,1912" to="10438,7852" o:regroupid="1" strokeweight="1pt">
              <v:stroke dashstyle="dash"/>
            </v:line>
            <v:line id="_x0000_s1111" style="position:absolute" from="1418,1912" to="4862,1912" o:regroupid="1" strokeweight="1pt">
              <v:stroke dashstyle="dash"/>
            </v:line>
            <v:line id="_x0000_s1112" style="position:absolute" from="6994,1912" to="10438,1912" o:regroupid="1" strokeweight="1pt">
              <v:stroke dashstyle="dash"/>
            </v:line>
            <v:line id="_x0000_s1113" style="position:absolute" from="1418,7879" to="10438,7879" o:regroupid="1" strokeweight="1pt">
              <v:stroke dashstyle="dash"/>
            </v:line>
            <v:line id="_x0000_s1114" style="position:absolute" from="5846,2092" to="5846,5512" o:regroupid="1" strokeweight="1pt">
              <v:stroke dashstyle="dash"/>
            </v:line>
            <v:shape id="_x0000_s1115" type="#_x0000_t202" style="position:absolute;left:4698;top:5512;width:2460;height:900" o:regroupid="1">
              <v:textbox style="mso-next-textbox:#_x0000_s1115" inset=".5mm,1mm,.5mm,.3mm">
                <w:txbxContent>
                  <w:p w:rsidR="00B97CDD" w:rsidRPr="00046CED" w:rsidRDefault="00B97CDD" w:rsidP="00B97CDD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46CED">
                      <w:rPr>
                        <w:b/>
                        <w:lang w:val="uk-UA"/>
                      </w:rPr>
                      <w:t>Висококваліфіковані кадри</w:t>
                    </w:r>
                  </w:p>
                </w:txbxContent>
              </v:textbox>
            </v:shape>
            <v:line id="_x0000_s1117" style="position:absolute;flip:x" from="7158,4770" to="7486,5490" o:regroupid="1">
              <v:stroke endarrow="block"/>
            </v:line>
            <v:shape id="_x0000_s1118" type="#_x0000_t202" style="position:absolute;left:2074;top:2452;width:2135;height:360" o:regroupid="1" stroked="f">
              <v:textbox style="mso-next-textbox:#_x0000_s1118" inset=".5mm,1mm,.5mm,.3mm">
                <w:txbxContent>
                  <w:p w:rsidR="00B97CDD" w:rsidRPr="007F43EE" w:rsidRDefault="00B97CDD" w:rsidP="00B97CDD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РИНОК ОСВІТИ</w:t>
                    </w:r>
                    <w:r w:rsidRPr="007F43EE">
                      <w:rPr>
                        <w:lang w:val="uk-UA"/>
                      </w:rPr>
                      <w:t xml:space="preserve"> </w:t>
                    </w:r>
                  </w:p>
                </w:txbxContent>
              </v:textbox>
            </v:shape>
            <v:shape id="_x0000_s1119" type="#_x0000_t202" style="position:absolute;left:7650;top:2452;width:2135;height:360" o:regroupid="1" stroked="f">
              <v:textbox style="mso-next-textbox:#_x0000_s1119" inset=".5mm,1mm,.5mm,.3mm">
                <w:txbxContent>
                  <w:p w:rsidR="00B97CDD" w:rsidRPr="007F43EE" w:rsidRDefault="00B97CDD" w:rsidP="00B97CDD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РИНОК ПРАЦІ</w:t>
                    </w:r>
                  </w:p>
                </w:txbxContent>
              </v:textbox>
            </v:shape>
            <v:shape id="_x0000_s1120" type="#_x0000_t67" style="position:absolute;left:5846;top:6412;width:164;height:720" o:regroupid="1" fillcolor="#ff9"/>
            <v:shape id="_x0000_s1121" type="#_x0000_t202" style="position:absolute;left:1910;top:7132;width:8200;height:360" o:regroupid="1">
              <v:stroke dashstyle="longDashDot"/>
              <v:textbox style="mso-next-textbox:#_x0000_s1121" inset=".5mm,1mm,.5mm,.3mm">
                <w:txbxContent>
                  <w:p w:rsidR="00B97CDD" w:rsidRPr="002E18AC" w:rsidRDefault="00B97CDD" w:rsidP="00B97CDD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2E18AC">
                      <w:rPr>
                        <w:sz w:val="22"/>
                        <w:szCs w:val="22"/>
                        <w:lang w:val="uk-UA"/>
                      </w:rPr>
                      <w:t xml:space="preserve">БАЛАНСУВАННЯ ПОПИТУ ТА ПРОПОЗИЦІЇ НА РИНКУ ПРАЦІ 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t>ТА ОСВІТИ УКРАЇНИ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3" type="#_x0000_t32" style="position:absolute;left:4534;top:4770;width:641;height:720" o:connectortype="straight">
              <v:stroke endarrow="block"/>
            </v:shape>
          </v:group>
        </w:pict>
      </w: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  <w:r w:rsidRPr="00C86629">
        <w:rPr>
          <w:sz w:val="28"/>
          <w:szCs w:val="28"/>
          <w:lang w:val="uk-UA"/>
        </w:rPr>
        <w:t xml:space="preserve"> </w:t>
      </w: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Pr="00C86629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EA3A8C" w:rsidRDefault="00EA3A8C" w:rsidP="00DB6235">
      <w:pPr>
        <w:ind w:firstLine="567"/>
        <w:jc w:val="both"/>
        <w:rPr>
          <w:sz w:val="28"/>
          <w:szCs w:val="28"/>
          <w:lang w:val="uk-UA"/>
        </w:rPr>
      </w:pPr>
    </w:p>
    <w:p w:rsidR="00B97CDD" w:rsidRDefault="00B97CDD" w:rsidP="00DB6235">
      <w:pPr>
        <w:ind w:firstLine="567"/>
        <w:jc w:val="both"/>
        <w:rPr>
          <w:sz w:val="28"/>
          <w:szCs w:val="28"/>
          <w:lang w:val="uk-UA"/>
        </w:rPr>
      </w:pPr>
    </w:p>
    <w:p w:rsidR="00B97CDD" w:rsidRDefault="00B97CDD" w:rsidP="00DB6235">
      <w:pPr>
        <w:ind w:firstLine="567"/>
        <w:jc w:val="both"/>
        <w:rPr>
          <w:sz w:val="28"/>
          <w:szCs w:val="28"/>
          <w:lang w:val="uk-UA"/>
        </w:rPr>
      </w:pPr>
    </w:p>
    <w:p w:rsidR="00B97CDD" w:rsidRDefault="00B97CDD" w:rsidP="00DB6235">
      <w:pPr>
        <w:ind w:firstLine="567"/>
        <w:jc w:val="both"/>
        <w:rPr>
          <w:sz w:val="28"/>
          <w:szCs w:val="28"/>
          <w:lang w:val="uk-UA"/>
        </w:rPr>
      </w:pPr>
    </w:p>
    <w:p w:rsidR="00B97CDD" w:rsidRDefault="00B97CDD" w:rsidP="00DB6235">
      <w:pPr>
        <w:ind w:firstLine="567"/>
        <w:jc w:val="both"/>
        <w:rPr>
          <w:sz w:val="28"/>
          <w:szCs w:val="28"/>
          <w:lang w:val="uk-UA"/>
        </w:rPr>
      </w:pPr>
    </w:p>
    <w:p w:rsidR="00B97CDD" w:rsidRDefault="00B97CDD" w:rsidP="00DB6235">
      <w:pPr>
        <w:ind w:firstLine="567"/>
        <w:jc w:val="both"/>
        <w:rPr>
          <w:sz w:val="28"/>
          <w:szCs w:val="28"/>
          <w:lang w:val="uk-UA"/>
        </w:rPr>
      </w:pPr>
    </w:p>
    <w:p w:rsidR="00B97CDD" w:rsidRDefault="00B97CDD" w:rsidP="00DB6235">
      <w:pPr>
        <w:ind w:firstLine="567"/>
        <w:jc w:val="both"/>
        <w:rPr>
          <w:sz w:val="28"/>
          <w:szCs w:val="28"/>
          <w:lang w:val="uk-UA"/>
        </w:rPr>
      </w:pPr>
    </w:p>
    <w:p w:rsidR="00B97CDD" w:rsidRDefault="00B97CDD" w:rsidP="00DB6235">
      <w:pPr>
        <w:ind w:firstLine="567"/>
        <w:jc w:val="both"/>
        <w:rPr>
          <w:sz w:val="28"/>
          <w:szCs w:val="28"/>
          <w:lang w:val="uk-UA"/>
        </w:rPr>
      </w:pPr>
    </w:p>
    <w:p w:rsidR="00B97CDD" w:rsidRDefault="00B97CDD" w:rsidP="00DB6235">
      <w:pPr>
        <w:ind w:firstLine="567"/>
        <w:jc w:val="center"/>
        <w:rPr>
          <w:sz w:val="28"/>
          <w:szCs w:val="28"/>
          <w:lang w:val="uk-UA"/>
        </w:rPr>
      </w:pPr>
      <w:r w:rsidRPr="00B97CDD">
        <w:rPr>
          <w:sz w:val="28"/>
          <w:szCs w:val="28"/>
          <w:lang w:val="uk-UA"/>
        </w:rPr>
        <w:t>Рисунок 1 −</w:t>
      </w:r>
      <w:r w:rsidR="00EA3A8C" w:rsidRPr="00B97CDD">
        <w:rPr>
          <w:sz w:val="28"/>
          <w:szCs w:val="28"/>
          <w:lang w:val="uk-UA"/>
        </w:rPr>
        <w:t xml:space="preserve">  Модель системного підходу до розвитку </w:t>
      </w:r>
      <w:r w:rsidR="00C62C95">
        <w:rPr>
          <w:sz w:val="28"/>
          <w:szCs w:val="28"/>
          <w:lang w:val="uk-UA"/>
        </w:rPr>
        <w:t xml:space="preserve">наукового </w:t>
      </w:r>
      <w:r w:rsidR="00EA3A8C" w:rsidRPr="00B97CDD">
        <w:rPr>
          <w:sz w:val="28"/>
          <w:szCs w:val="28"/>
          <w:lang w:val="uk-UA"/>
        </w:rPr>
        <w:t>потенціалу</w:t>
      </w:r>
    </w:p>
    <w:p w:rsidR="00C62C95" w:rsidRDefault="00C62C95" w:rsidP="00DB6235">
      <w:pPr>
        <w:ind w:firstLine="567"/>
        <w:jc w:val="both"/>
        <w:rPr>
          <w:b/>
          <w:sz w:val="28"/>
          <w:szCs w:val="28"/>
          <w:lang w:val="uk-UA"/>
        </w:rPr>
      </w:pPr>
    </w:p>
    <w:p w:rsidR="00D86524" w:rsidRDefault="00D86524" w:rsidP="00DB62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освіта і наука </w:t>
      </w:r>
      <w:r w:rsidR="00B97CDD" w:rsidRPr="00C86629">
        <w:rPr>
          <w:sz w:val="28"/>
          <w:szCs w:val="28"/>
          <w:lang w:val="uk-UA"/>
        </w:rPr>
        <w:t xml:space="preserve">є важливими складовими формування економіки знань, підвищення </w:t>
      </w:r>
      <w:r>
        <w:rPr>
          <w:sz w:val="28"/>
          <w:szCs w:val="28"/>
          <w:lang w:val="uk-UA"/>
        </w:rPr>
        <w:t xml:space="preserve">рівня </w:t>
      </w:r>
      <w:r w:rsidR="00B97CDD" w:rsidRPr="00C86629">
        <w:rPr>
          <w:sz w:val="28"/>
          <w:szCs w:val="28"/>
          <w:lang w:val="uk-UA"/>
        </w:rPr>
        <w:t>конкурентоспроможності та</w:t>
      </w:r>
      <w:r>
        <w:rPr>
          <w:sz w:val="28"/>
          <w:szCs w:val="28"/>
          <w:lang w:val="uk-UA"/>
        </w:rPr>
        <w:t xml:space="preserve"> розвитку інноваційно-інвестиційних процесів в Україні</w:t>
      </w:r>
      <w:r w:rsidR="00B97CDD" w:rsidRPr="00C8662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Інноваційний розвиток України </w:t>
      </w:r>
      <w:r w:rsidR="00B97CDD" w:rsidRPr="00C86629">
        <w:rPr>
          <w:sz w:val="28"/>
          <w:szCs w:val="28"/>
          <w:lang w:val="uk-UA"/>
        </w:rPr>
        <w:t>вимагає не стільки готових знань, скільки навичок гнучкої поведінки і вмінь формувати власну здатність до розв’язання проблем, які виникають у си</w:t>
      </w:r>
      <w:r>
        <w:rPr>
          <w:sz w:val="28"/>
          <w:szCs w:val="28"/>
          <w:lang w:val="uk-UA"/>
        </w:rPr>
        <w:t>туаціях, що постійно змінюються, у тому числі в умовах стабільної фінансово-економічної кризи України.</w:t>
      </w:r>
      <w:r w:rsidR="00B97CDD" w:rsidRPr="00C86629">
        <w:rPr>
          <w:sz w:val="28"/>
          <w:szCs w:val="28"/>
          <w:lang w:val="uk-UA"/>
        </w:rPr>
        <w:t xml:space="preserve"> Тому нагальними питаннями </w:t>
      </w:r>
      <w:r w:rsidR="00B97CDD">
        <w:rPr>
          <w:sz w:val="28"/>
          <w:szCs w:val="28"/>
          <w:lang w:val="uk-UA"/>
        </w:rPr>
        <w:t>в</w:t>
      </w:r>
      <w:r w:rsidR="00B97CDD" w:rsidRPr="00C86629">
        <w:rPr>
          <w:sz w:val="28"/>
          <w:szCs w:val="28"/>
          <w:lang w:val="uk-UA"/>
        </w:rPr>
        <w:t xml:space="preserve">досконалення </w:t>
      </w:r>
      <w:r>
        <w:rPr>
          <w:sz w:val="28"/>
          <w:szCs w:val="28"/>
          <w:lang w:val="uk-UA"/>
        </w:rPr>
        <w:t xml:space="preserve"> інноваційних процесів в нашій країні </w:t>
      </w:r>
      <w:r w:rsidR="00B97CDD" w:rsidRPr="00C86629">
        <w:rPr>
          <w:sz w:val="28"/>
          <w:szCs w:val="28"/>
          <w:lang w:val="uk-UA"/>
        </w:rPr>
        <w:t>є, по-перше, модернізація системи освіти в напрямку забезпечення її якості відповідно до новітніх досягнень науки; по-друге,</w:t>
      </w:r>
      <w:r>
        <w:rPr>
          <w:sz w:val="28"/>
          <w:szCs w:val="28"/>
          <w:lang w:val="uk-UA"/>
        </w:rPr>
        <w:t xml:space="preserve"> забезпечити інвестиції в розвиток людського капіталу, як важливого чинника </w:t>
      </w:r>
      <w:r w:rsidR="00B97CDD" w:rsidRPr="00C866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соціально-економічного підйому вітчизняної економіки. </w:t>
      </w:r>
    </w:p>
    <w:p w:rsidR="00B97CDD" w:rsidRPr="00820D0B" w:rsidRDefault="00820D0B" w:rsidP="001D48C1">
      <w:pPr>
        <w:spacing w:before="240"/>
        <w:ind w:firstLine="851"/>
        <w:jc w:val="center"/>
        <w:rPr>
          <w:b/>
          <w:sz w:val="28"/>
          <w:szCs w:val="28"/>
          <w:lang w:val="uk-UA"/>
        </w:rPr>
      </w:pPr>
      <w:r w:rsidRPr="00820D0B">
        <w:rPr>
          <w:b/>
          <w:sz w:val="28"/>
          <w:szCs w:val="28"/>
          <w:lang w:val="uk-UA"/>
        </w:rPr>
        <w:t>Література</w:t>
      </w:r>
    </w:p>
    <w:p w:rsidR="00A97806" w:rsidRPr="00820D0B" w:rsidRDefault="00A97806" w:rsidP="00820D0B">
      <w:pPr>
        <w:pStyle w:val="a7"/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DD546D">
        <w:rPr>
          <w:sz w:val="28"/>
          <w:szCs w:val="28"/>
          <w:lang w:val="uk-UA"/>
        </w:rPr>
        <w:t xml:space="preserve">Науково-технологічний потенціал та інноваційна безпека України </w:t>
      </w:r>
      <w:r w:rsidR="00DD546D" w:rsidRPr="00D11212">
        <w:rPr>
          <w:sz w:val="28"/>
          <w:szCs w:val="28"/>
          <w:lang w:val="uk-UA"/>
        </w:rPr>
        <w:t xml:space="preserve">[Електронний ресурс]. – Режим доступу: </w:t>
      </w:r>
      <w:r w:rsidR="00DD546D" w:rsidRPr="00D11212">
        <w:rPr>
          <w:sz w:val="28"/>
          <w:szCs w:val="28"/>
          <w:lang w:val="en-US"/>
        </w:rPr>
        <w:t xml:space="preserve">http// </w:t>
      </w:r>
      <w:hyperlink r:id="rId5" w:history="1">
        <w:r w:rsidR="00820D0B" w:rsidRPr="00820D0B">
          <w:rPr>
            <w:rStyle w:val="ad"/>
            <w:color w:val="auto"/>
            <w:sz w:val="28"/>
            <w:szCs w:val="28"/>
            <w:u w:val="none"/>
            <w:lang w:val="en-US"/>
          </w:rPr>
          <w:t>www.</w:t>
        </w:r>
        <w:proofErr w:type="spellStart"/>
        <w:r w:rsidR="00820D0B" w:rsidRPr="00820D0B">
          <w:rPr>
            <w:rStyle w:val="ad"/>
            <w:color w:val="auto"/>
            <w:sz w:val="28"/>
            <w:szCs w:val="28"/>
            <w:u w:val="none"/>
            <w:lang w:val="uk-UA"/>
          </w:rPr>
          <w:t>inventure.com.ua</w:t>
        </w:r>
        <w:proofErr w:type="spellEnd"/>
      </w:hyperlink>
      <w:r w:rsidR="00820D0B" w:rsidRPr="00820D0B">
        <w:rPr>
          <w:lang w:val="en-US"/>
        </w:rPr>
        <w:t>.</w:t>
      </w:r>
    </w:p>
    <w:p w:rsidR="00820D0B" w:rsidRPr="00820D0B" w:rsidRDefault="002048F2" w:rsidP="00820D0B">
      <w:pPr>
        <w:pStyle w:val="a7"/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Інновації </w:t>
      </w:r>
      <w:r w:rsidRPr="00D11212">
        <w:rPr>
          <w:sz w:val="28"/>
          <w:szCs w:val="28"/>
          <w:lang w:val="uk-UA"/>
        </w:rPr>
        <w:t>–</w:t>
      </w:r>
      <w:r w:rsidR="009631B3" w:rsidRPr="00DD546D">
        <w:rPr>
          <w:sz w:val="28"/>
          <w:szCs w:val="28"/>
          <w:lang w:val="uk-UA"/>
        </w:rPr>
        <w:t xml:space="preserve"> шостий технологічний уклад</w:t>
      </w:r>
      <w:r w:rsidR="00820D0B">
        <w:rPr>
          <w:sz w:val="28"/>
          <w:szCs w:val="28"/>
          <w:lang w:val="en-US"/>
        </w:rPr>
        <w:t xml:space="preserve"> </w:t>
      </w:r>
      <w:r w:rsidR="00820D0B" w:rsidRPr="00D11212">
        <w:rPr>
          <w:sz w:val="28"/>
          <w:szCs w:val="28"/>
          <w:lang w:val="uk-UA"/>
        </w:rPr>
        <w:t xml:space="preserve">[Електронний ресурс]. – Режим доступу: </w:t>
      </w:r>
      <w:r w:rsidR="00820D0B" w:rsidRPr="00D11212">
        <w:rPr>
          <w:sz w:val="28"/>
          <w:szCs w:val="28"/>
          <w:lang w:val="en-US"/>
        </w:rPr>
        <w:t>http</w:t>
      </w:r>
      <w:r w:rsidR="00820D0B" w:rsidRPr="00820D0B">
        <w:rPr>
          <w:sz w:val="28"/>
          <w:szCs w:val="28"/>
          <w:lang w:val="en-US"/>
        </w:rPr>
        <w:t xml:space="preserve">// </w:t>
      </w:r>
      <w:proofErr w:type="spellStart"/>
      <w:r w:rsidR="00820D0B" w:rsidRPr="00820D0B">
        <w:rPr>
          <w:sz w:val="28"/>
          <w:szCs w:val="28"/>
        </w:rPr>
        <w:t>www</w:t>
      </w:r>
      <w:proofErr w:type="spellEnd"/>
      <w:r w:rsidR="00820D0B" w:rsidRPr="00820D0B">
        <w:rPr>
          <w:sz w:val="28"/>
          <w:szCs w:val="28"/>
        </w:rPr>
        <w:t>.</w:t>
      </w:r>
      <w:proofErr w:type="spellStart"/>
      <w:r w:rsidR="009631B3" w:rsidRPr="00DD546D">
        <w:rPr>
          <w:sz w:val="28"/>
          <w:szCs w:val="28"/>
          <w:lang w:val="uk-UA"/>
        </w:rPr>
        <w:t>investycii.org</w:t>
      </w:r>
      <w:proofErr w:type="spellEnd"/>
      <w:r w:rsidR="009631B3" w:rsidRPr="00DD546D">
        <w:rPr>
          <w:sz w:val="28"/>
          <w:szCs w:val="28"/>
          <w:lang w:val="en-US"/>
        </w:rPr>
        <w:t>.</w:t>
      </w:r>
      <w:proofErr w:type="spellStart"/>
      <w:r w:rsidR="009631B3" w:rsidRPr="00DD546D">
        <w:rPr>
          <w:sz w:val="28"/>
          <w:szCs w:val="28"/>
          <w:lang w:val="en-US"/>
        </w:rPr>
        <w:t>ua</w:t>
      </w:r>
      <w:proofErr w:type="spellEnd"/>
      <w:r w:rsidR="009631B3" w:rsidRPr="00DD546D">
        <w:rPr>
          <w:sz w:val="28"/>
          <w:szCs w:val="28"/>
          <w:lang w:val="en-US"/>
        </w:rPr>
        <w:t>.</w:t>
      </w:r>
    </w:p>
    <w:sectPr w:rsidR="00820D0B" w:rsidRPr="00820D0B" w:rsidSect="00E36160"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C761D"/>
    <w:multiLevelType w:val="hybridMultilevel"/>
    <w:tmpl w:val="087495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3C1464"/>
    <w:multiLevelType w:val="hybridMultilevel"/>
    <w:tmpl w:val="EC1A3D1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4C5E08EE"/>
    <w:multiLevelType w:val="hybridMultilevel"/>
    <w:tmpl w:val="90C672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0EF786F"/>
    <w:multiLevelType w:val="hybridMultilevel"/>
    <w:tmpl w:val="E3B29FA2"/>
    <w:lvl w:ilvl="0" w:tplc="B0EE37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C261C7E"/>
    <w:multiLevelType w:val="hybridMultilevel"/>
    <w:tmpl w:val="6770C1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EF7"/>
    <w:rsid w:val="000305BA"/>
    <w:rsid w:val="000427C7"/>
    <w:rsid w:val="00110B7D"/>
    <w:rsid w:val="00156467"/>
    <w:rsid w:val="001D48C1"/>
    <w:rsid w:val="001E7086"/>
    <w:rsid w:val="002048F2"/>
    <w:rsid w:val="002F717C"/>
    <w:rsid w:val="00305D66"/>
    <w:rsid w:val="003A0EB6"/>
    <w:rsid w:val="004060E0"/>
    <w:rsid w:val="00474EF7"/>
    <w:rsid w:val="004F58D6"/>
    <w:rsid w:val="004F7D7E"/>
    <w:rsid w:val="005007FA"/>
    <w:rsid w:val="00520FFA"/>
    <w:rsid w:val="0059436A"/>
    <w:rsid w:val="00682DAC"/>
    <w:rsid w:val="00731A0E"/>
    <w:rsid w:val="007B331A"/>
    <w:rsid w:val="00820D0B"/>
    <w:rsid w:val="00850C31"/>
    <w:rsid w:val="009631B3"/>
    <w:rsid w:val="009D74F8"/>
    <w:rsid w:val="00A7532D"/>
    <w:rsid w:val="00A97806"/>
    <w:rsid w:val="00B3434A"/>
    <w:rsid w:val="00B97CDD"/>
    <w:rsid w:val="00BC47E4"/>
    <w:rsid w:val="00C62C95"/>
    <w:rsid w:val="00C75BF6"/>
    <w:rsid w:val="00C77A07"/>
    <w:rsid w:val="00D86524"/>
    <w:rsid w:val="00DB6235"/>
    <w:rsid w:val="00DD488A"/>
    <w:rsid w:val="00DD546D"/>
    <w:rsid w:val="00DF76D9"/>
    <w:rsid w:val="00E36160"/>
    <w:rsid w:val="00E809F9"/>
    <w:rsid w:val="00EA3A8C"/>
    <w:rsid w:val="00F6616B"/>
    <w:rsid w:val="00F91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12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0E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1A0E"/>
    <w:pPr>
      <w:keepNext/>
      <w:spacing w:line="360" w:lineRule="auto"/>
      <w:ind w:firstLine="567"/>
      <w:jc w:val="both"/>
      <w:outlineLvl w:val="0"/>
    </w:pPr>
    <w:rPr>
      <w:rFonts w:eastAsia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31A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A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731A0E"/>
    <w:pPr>
      <w:keepNext/>
      <w:jc w:val="center"/>
      <w:outlineLvl w:val="4"/>
    </w:pPr>
    <w:rPr>
      <w:rFonts w:eastAsia="Times New Roman"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A0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1A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1A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31A0E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Title"/>
    <w:basedOn w:val="a"/>
    <w:link w:val="a4"/>
    <w:qFormat/>
    <w:rsid w:val="00731A0E"/>
    <w:pPr>
      <w:jc w:val="center"/>
    </w:pPr>
    <w:rPr>
      <w:rFonts w:eastAsia="Times New Roman"/>
      <w:b/>
      <w:bCs/>
      <w:lang w:val="uk-UA"/>
    </w:rPr>
  </w:style>
  <w:style w:type="character" w:customStyle="1" w:styleId="a4">
    <w:name w:val="Название Знак"/>
    <w:basedOn w:val="a0"/>
    <w:link w:val="a3"/>
    <w:rsid w:val="00731A0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5">
    <w:name w:val="Strong"/>
    <w:basedOn w:val="a0"/>
    <w:uiPriority w:val="22"/>
    <w:qFormat/>
    <w:rsid w:val="00731A0E"/>
    <w:rPr>
      <w:b/>
      <w:bCs/>
    </w:rPr>
  </w:style>
  <w:style w:type="character" w:styleId="a6">
    <w:name w:val="Emphasis"/>
    <w:basedOn w:val="a0"/>
    <w:uiPriority w:val="20"/>
    <w:qFormat/>
    <w:rsid w:val="00731A0E"/>
    <w:rPr>
      <w:i/>
      <w:iCs/>
    </w:rPr>
  </w:style>
  <w:style w:type="paragraph" w:styleId="a7">
    <w:name w:val="List Paragraph"/>
    <w:basedOn w:val="a"/>
    <w:uiPriority w:val="34"/>
    <w:qFormat/>
    <w:rsid w:val="00731A0E"/>
    <w:pPr>
      <w:ind w:left="720"/>
      <w:contextualSpacing/>
    </w:pPr>
    <w:rPr>
      <w:rFonts w:eastAsia="Times New Roman"/>
    </w:rPr>
  </w:style>
  <w:style w:type="paragraph" w:customStyle="1" w:styleId="Igor">
    <w:name w:val="Igor"/>
    <w:basedOn w:val="a"/>
    <w:autoRedefine/>
    <w:rsid w:val="00474EF7"/>
    <w:pPr>
      <w:ind w:firstLine="709"/>
      <w:jc w:val="both"/>
    </w:pPr>
    <w:rPr>
      <w:rFonts w:eastAsia="Times New Roman"/>
      <w:b/>
      <w:i/>
      <w:sz w:val="28"/>
      <w:szCs w:val="28"/>
      <w:lang w:val="uk-UA"/>
    </w:rPr>
  </w:style>
  <w:style w:type="paragraph" w:styleId="a8">
    <w:name w:val="Body Text Indent"/>
    <w:basedOn w:val="a"/>
    <w:link w:val="a9"/>
    <w:uiPriority w:val="99"/>
    <w:rsid w:val="004F58D6"/>
    <w:pPr>
      <w:spacing w:after="120"/>
      <w:ind w:left="283"/>
    </w:pPr>
    <w:rPr>
      <w:rFonts w:eastAsia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rsid w:val="004F58D6"/>
    <w:rPr>
      <w:rFonts w:eastAsia="Times New Roman"/>
      <w:sz w:val="24"/>
      <w:szCs w:val="24"/>
      <w:lang w:eastAsia="ru-RU"/>
    </w:rPr>
  </w:style>
  <w:style w:type="paragraph" w:customStyle="1" w:styleId="aa">
    <w:name w:val="Основной т"/>
    <w:basedOn w:val="a"/>
    <w:rsid w:val="00EA3A8C"/>
    <w:pPr>
      <w:widowControl w:val="0"/>
      <w:spacing w:line="360" w:lineRule="auto"/>
      <w:ind w:firstLine="851"/>
      <w:jc w:val="both"/>
    </w:pPr>
    <w:rPr>
      <w:rFonts w:eastAsia="Times New Roman"/>
      <w:snapToGrid w:val="0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A3A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3A8C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978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venture.com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2013-01-17T14:27:00Z</cp:lastPrinted>
  <dcterms:created xsi:type="dcterms:W3CDTF">2013-01-17T14:40:00Z</dcterms:created>
  <dcterms:modified xsi:type="dcterms:W3CDTF">2013-01-17T14:40:00Z</dcterms:modified>
</cp:coreProperties>
</file>