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A05900" w14:textId="38FB55B8" w:rsidR="00A172A5" w:rsidRPr="00EE2B99" w:rsidRDefault="00A172A5" w:rsidP="00034BDA">
      <w:pPr>
        <w:widowControl w:val="0"/>
        <w:spacing w:after="0"/>
        <w:jc w:val="right"/>
        <w:rPr>
          <w:b/>
          <w:bCs/>
          <w:i/>
          <w:sz w:val="20"/>
          <w:szCs w:val="20"/>
          <w:lang w:val="en-US"/>
        </w:rPr>
      </w:pPr>
      <w:r w:rsidRPr="00EE2B99">
        <w:rPr>
          <w:rStyle w:val="a6"/>
          <w:rFonts w:ascii="Times New Roman" w:eastAsiaTheme="minorHAnsi" w:hAnsi="Times New Roman"/>
          <w:b/>
          <w:iCs/>
          <w:caps w:val="0"/>
          <w:color w:val="000000"/>
          <w:szCs w:val="20"/>
          <w:lang w:val="en-US"/>
        </w:rPr>
        <w:t>Nechyporenko Tetiana</w:t>
      </w:r>
      <w:r w:rsidRPr="00EE2B99">
        <w:rPr>
          <w:rStyle w:val="a6"/>
          <w:rFonts w:ascii="Times New Roman" w:eastAsiaTheme="minorHAnsi" w:hAnsi="Times New Roman"/>
          <w:b/>
          <w:iCs/>
          <w:caps w:val="0"/>
          <w:color w:val="000000"/>
          <w:szCs w:val="20"/>
          <w:lang w:val="en-US"/>
        </w:rPr>
        <w:br/>
        <w:t xml:space="preserve">PhD in Economics, </w:t>
      </w:r>
      <w:r w:rsidRPr="00EE2B99">
        <w:rPr>
          <w:rStyle w:val="a6"/>
          <w:rFonts w:ascii="Times New Roman" w:eastAsiaTheme="minorHAnsi" w:hAnsi="Times New Roman"/>
          <w:b/>
          <w:iCs/>
          <w:caps w:val="0"/>
          <w:color w:val="000000"/>
          <w:szCs w:val="20"/>
          <w:lang w:val="en-US"/>
        </w:rPr>
        <w:br/>
        <w:t xml:space="preserve">Teacher of Financial and Economic Disciplines at the </w:t>
      </w:r>
      <w:r w:rsidRPr="00EE2B99">
        <w:rPr>
          <w:rStyle w:val="a6"/>
          <w:rFonts w:ascii="Times New Roman" w:eastAsiaTheme="minorHAnsi" w:hAnsi="Times New Roman"/>
          <w:b/>
          <w:iCs/>
          <w:caps w:val="0"/>
          <w:color w:val="000000"/>
          <w:szCs w:val="20"/>
          <w:lang w:val="en-US"/>
        </w:rPr>
        <w:br/>
      </w:r>
      <w:r w:rsidRPr="00EE2B99">
        <w:rPr>
          <w:rStyle w:val="a6"/>
          <w:rFonts w:ascii="Times New Roman" w:eastAsiaTheme="minorHAnsi" w:hAnsi="Times New Roman"/>
          <w:b/>
          <w:i/>
          <w:caps w:val="0"/>
          <w:color w:val="000000"/>
          <w:szCs w:val="20"/>
          <w:lang w:val="en-US"/>
        </w:rPr>
        <w:t xml:space="preserve">Vinnytsia Technical </w:t>
      </w:r>
      <w:r w:rsidRPr="00EE2B99">
        <w:rPr>
          <w:b/>
          <w:bCs/>
          <w:i/>
          <w:sz w:val="20"/>
          <w:szCs w:val="20"/>
          <w:lang w:val="en-US"/>
        </w:rPr>
        <w:t>Vocational</w:t>
      </w:r>
      <w:r w:rsidRPr="00EE2B99">
        <w:rPr>
          <w:rStyle w:val="a6"/>
          <w:rFonts w:ascii="Times New Roman" w:eastAsiaTheme="minorHAnsi" w:hAnsi="Times New Roman"/>
          <w:b/>
          <w:i/>
          <w:caps w:val="0"/>
          <w:color w:val="000000"/>
          <w:szCs w:val="20"/>
          <w:lang w:val="en-US"/>
        </w:rPr>
        <w:t xml:space="preserve"> College, </w:t>
      </w:r>
      <w:r w:rsidRPr="00EE2B99">
        <w:rPr>
          <w:b/>
          <w:bCs/>
          <w:i/>
          <w:sz w:val="20"/>
          <w:szCs w:val="20"/>
          <w:lang w:val="en-US"/>
        </w:rPr>
        <w:t>Vinnytsia</w:t>
      </w:r>
    </w:p>
    <w:p w14:paraId="7B44BF48" w14:textId="77777777" w:rsidR="00034BDA" w:rsidRPr="00EE2B99" w:rsidRDefault="00034BDA" w:rsidP="00034BDA">
      <w:pPr>
        <w:widowControl w:val="0"/>
        <w:spacing w:after="0"/>
        <w:jc w:val="right"/>
        <w:rPr>
          <w:rStyle w:val="a6"/>
          <w:rFonts w:ascii="Times New Roman" w:eastAsiaTheme="minorHAnsi" w:hAnsi="Times New Roman"/>
          <w:b/>
          <w:iCs/>
          <w:caps w:val="0"/>
          <w:color w:val="000000"/>
          <w:szCs w:val="20"/>
          <w:lang w:val="en-US"/>
        </w:rPr>
      </w:pPr>
    </w:p>
    <w:p w14:paraId="50B3DD45" w14:textId="77777777" w:rsidR="00A172A5" w:rsidRPr="00EE2B99" w:rsidRDefault="00A172A5" w:rsidP="00034BDA">
      <w:pPr>
        <w:spacing w:after="0"/>
        <w:ind w:firstLine="425"/>
        <w:jc w:val="center"/>
        <w:rPr>
          <w:b/>
          <w:bCs/>
          <w:sz w:val="20"/>
          <w:szCs w:val="20"/>
          <w:lang w:val="en-US"/>
        </w:rPr>
      </w:pPr>
      <w:r w:rsidRPr="00EE2B99">
        <w:rPr>
          <w:b/>
          <w:bCs/>
          <w:sz w:val="20"/>
          <w:szCs w:val="20"/>
          <w:lang w:val="en-US"/>
        </w:rPr>
        <w:t>TRANSNATIONALIZATION OF THE WORLD ECONOMY: INTERNATIONAL BUSINESS</w:t>
      </w:r>
    </w:p>
    <w:p w14:paraId="4377309B" w14:textId="77777777" w:rsidR="00A172A5" w:rsidRPr="00EE2B99" w:rsidRDefault="00A172A5" w:rsidP="00034BDA">
      <w:pPr>
        <w:spacing w:after="0"/>
        <w:ind w:firstLine="425"/>
        <w:rPr>
          <w:b/>
          <w:bCs/>
          <w:sz w:val="20"/>
          <w:szCs w:val="20"/>
          <w:lang w:val="en-US"/>
        </w:rPr>
      </w:pPr>
    </w:p>
    <w:p w14:paraId="3D9AEA2F" w14:textId="024A69C8"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The transnationalization of the world economy and its impact on international business is an important topic of our time. The rapid development of global technologies, the growth of international trade and investment, as well as the impact of global crises, necessitate a deep understanding of the mechanisms of transnational corporations and their relationship with the global economy. The transnationalization of the world economy is a process of growing interdependence of national economies, which is reflected in the intensification of international economic relations, expansion and deepening of transnational activities. This process has a significant impact on all spheres of society, so the study of its features and patterns is extremely relevant.</w:t>
      </w:r>
      <w:r w:rsidR="00EA02F9">
        <w:rPr>
          <w:rStyle w:val="a3"/>
          <w:b w:val="0"/>
          <w:bCs w:val="0"/>
          <w:sz w:val="20"/>
          <w:szCs w:val="20"/>
        </w:rPr>
        <w:t xml:space="preserve"> </w:t>
      </w:r>
      <w:r w:rsidRPr="00EE2B99">
        <w:rPr>
          <w:rStyle w:val="a3"/>
          <w:rFonts w:cs="Times New Roman"/>
          <w:b w:val="0"/>
          <w:bCs w:val="0"/>
          <w:sz w:val="20"/>
          <w:szCs w:val="20"/>
          <w:shd w:val="clear" w:color="auto" w:fill="FFFFFF"/>
          <w:lang w:val="en-US"/>
        </w:rPr>
        <w:t>Transnationalization is a process of growing interconnections and interdependence between countries, which is manifested in an increase in international trade, investment, migration and information flows.</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International business is a type of economic activity that is carried out outside of one country and involves the movement of goods, services, capital, people and technology.</w:t>
      </w:r>
      <w:r w:rsidR="00EA02F9">
        <w:rPr>
          <w:rStyle w:val="a3"/>
          <w:rFonts w:cs="Times New Roman"/>
          <w:b w:val="0"/>
          <w:bCs w:val="0"/>
          <w:sz w:val="20"/>
          <w:szCs w:val="20"/>
          <w:shd w:val="clear" w:color="auto" w:fill="FFFFFF"/>
        </w:rPr>
        <w:t xml:space="preserve"> </w:t>
      </w:r>
      <w:r w:rsidRPr="00EE2B99">
        <w:rPr>
          <w:rStyle w:val="a3"/>
          <w:rFonts w:cs="Times New Roman"/>
          <w:b w:val="0"/>
          <w:bCs w:val="0"/>
          <w:color w:val="1F1F1F"/>
          <w:sz w:val="20"/>
          <w:szCs w:val="20"/>
          <w:shd w:val="clear" w:color="auto" w:fill="FFFFFF"/>
          <w:lang w:val="en-US"/>
        </w:rPr>
        <w:t xml:space="preserve">The main feature of a TNC is a combination of centralized management with a certain degree of independence of legal entities and structural units (branches, subsidiaries) located in different countries. TNCs began their intensive development in the second half of the twentieth century. It should be noted that there are a number of sources of their effective activity compared to companies that exist only in one country. These sources include: </w:t>
      </w:r>
    </w:p>
    <w:p w14:paraId="7B16DDEB" w14:textId="5B961DEA" w:rsidR="00034BDA" w:rsidRPr="001660FD" w:rsidRDefault="00034BDA" w:rsidP="00034BDA">
      <w:pPr>
        <w:spacing w:after="0"/>
        <w:ind w:firstLine="425"/>
        <w:jc w:val="both"/>
        <w:rPr>
          <w:rStyle w:val="a3"/>
          <w:rFonts w:cs="Times New Roman"/>
          <w:b w:val="0"/>
          <w:bCs w:val="0"/>
          <w:color w:val="1F1F1F"/>
          <w:sz w:val="20"/>
          <w:szCs w:val="20"/>
          <w:shd w:val="clear" w:color="auto" w:fill="FFFFFF"/>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advantages of ownership of and access to natural resources, capital, and research and development results</w:t>
      </w:r>
      <w:r w:rsidR="001660FD">
        <w:rPr>
          <w:rStyle w:val="a3"/>
          <w:rFonts w:cs="Times New Roman"/>
          <w:b w:val="0"/>
          <w:bCs w:val="0"/>
          <w:color w:val="1F1F1F"/>
          <w:sz w:val="20"/>
          <w:szCs w:val="20"/>
          <w:shd w:val="clear" w:color="auto" w:fill="FFFFFF"/>
        </w:rPr>
        <w:t>;</w:t>
      </w:r>
    </w:p>
    <w:p w14:paraId="374C8033" w14:textId="6035E2C6"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horizontal diversification by technology within the same industry, which in both cases ensures economic stability and financial sustainability of TNCs;</w:t>
      </w:r>
    </w:p>
    <w:p w14:paraId="0CDEF9E0" w14:textId="3A9FAD70"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the possibility of optimal distribution of the parent company's enterprises in different countries, taking into account the size of their national markets, the rate of economic price growth, the availability of economic resources, and political stability; </w:t>
      </w:r>
    </w:p>
    <w:p w14:paraId="6124B594" w14:textId="54514685"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the ability to overcome various barriers to the introduction of their goods into the market of a country through direct investment by exporting; </w:t>
      </w:r>
    </w:p>
    <w:p w14:paraId="5856D93D" w14:textId="454B6A1F"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wide use of financial resources of other countries; </w:t>
      </w:r>
    </w:p>
    <w:p w14:paraId="16D8D746" w14:textId="20363659"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continuous awareness of the situation on the commodity, currency and financial markets in different countries, which allows to quickly direct capital flows to those countries where there are favorable conditions for maximizing profits [</w:t>
      </w:r>
      <w:r w:rsidR="00EE2B99" w:rsidRPr="00EE2B99">
        <w:rPr>
          <w:rStyle w:val="a3"/>
          <w:rFonts w:cs="Times New Roman"/>
          <w:b w:val="0"/>
          <w:bCs w:val="0"/>
          <w:color w:val="1F1F1F"/>
          <w:sz w:val="20"/>
          <w:szCs w:val="20"/>
          <w:shd w:val="clear" w:color="auto" w:fill="FFFFFF"/>
        </w:rPr>
        <w:t>4</w:t>
      </w:r>
      <w:r w:rsidRPr="00EE2B99">
        <w:rPr>
          <w:rStyle w:val="a3"/>
          <w:rFonts w:cs="Times New Roman"/>
          <w:b w:val="0"/>
          <w:bCs w:val="0"/>
          <w:color w:val="1F1F1F"/>
          <w:sz w:val="20"/>
          <w:szCs w:val="20"/>
          <w:shd w:val="clear" w:color="auto" w:fill="FFFFFF"/>
          <w:lang w:val="en-US"/>
        </w:rPr>
        <w:t xml:space="preserve">]. </w:t>
      </w:r>
    </w:p>
    <w:p w14:paraId="751E80BE" w14:textId="796E884B" w:rsidR="00034BDA" w:rsidRPr="001660FD" w:rsidRDefault="00034BDA" w:rsidP="00034BDA">
      <w:pPr>
        <w:spacing w:after="0"/>
        <w:ind w:firstLine="425"/>
        <w:jc w:val="both"/>
        <w:rPr>
          <w:rStyle w:val="a3"/>
          <w:rFonts w:cs="Times New Roman"/>
          <w:b w:val="0"/>
          <w:bCs w:val="0"/>
          <w:color w:val="1F1F1F"/>
          <w:sz w:val="20"/>
          <w:szCs w:val="20"/>
          <w:shd w:val="clear" w:color="auto" w:fill="FFFFFF"/>
        </w:rPr>
      </w:pPr>
      <w:r w:rsidRPr="00EE2B99">
        <w:rPr>
          <w:rStyle w:val="a3"/>
          <w:rFonts w:cs="Times New Roman"/>
          <w:b w:val="0"/>
          <w:bCs w:val="0"/>
          <w:color w:val="1F1F1F"/>
          <w:sz w:val="20"/>
          <w:szCs w:val="20"/>
          <w:shd w:val="clear" w:color="auto" w:fill="FFFFFF"/>
          <w:lang w:val="en-US"/>
        </w:rPr>
        <w:t>By supporting the circulation of capital, people and technology, multinational companies in many countries contribute significantly to the economic growth and development of host national economies, including</w:t>
      </w:r>
      <w:r w:rsidR="001660FD">
        <w:rPr>
          <w:rStyle w:val="a3"/>
          <w:rFonts w:cs="Times New Roman"/>
          <w:b w:val="0"/>
          <w:bCs w:val="0"/>
          <w:color w:val="1F1F1F"/>
          <w:sz w:val="20"/>
          <w:szCs w:val="20"/>
          <w:shd w:val="clear" w:color="auto" w:fill="FFFFFF"/>
        </w:rPr>
        <w:t>:</w:t>
      </w:r>
    </w:p>
    <w:p w14:paraId="2E3DF734" w14:textId="728D682A"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w:t>
      </w:r>
      <w:r w:rsidR="001660FD" w:rsidRPr="00EE2B99">
        <w:rPr>
          <w:rStyle w:val="a3"/>
          <w:rFonts w:cs="Times New Roman"/>
          <w:b w:val="0"/>
          <w:bCs w:val="0"/>
          <w:color w:val="1F1F1F"/>
          <w:sz w:val="20"/>
          <w:szCs w:val="20"/>
          <w:shd w:val="clear" w:color="auto" w:fill="FFFFFF"/>
          <w:lang w:val="en-US"/>
        </w:rPr>
        <w:t>r</w:t>
      </w:r>
      <w:r w:rsidRPr="00EE2B99">
        <w:rPr>
          <w:rStyle w:val="a3"/>
          <w:rFonts w:cs="Times New Roman"/>
          <w:b w:val="0"/>
          <w:bCs w:val="0"/>
          <w:color w:val="1F1F1F"/>
          <w:sz w:val="20"/>
          <w:szCs w:val="20"/>
          <w:shd w:val="clear" w:color="auto" w:fill="FFFFFF"/>
          <w:lang w:val="en-US"/>
        </w:rPr>
        <w:t xml:space="preserve">educing the severity of import-related foreign exchange deficits, which means that they transfer to other countries at least part of the production they have been importing; </w:t>
      </w:r>
    </w:p>
    <w:p w14:paraId="1A415B3D" w14:textId="6E81BE0C"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raising the culture of doing business and consumption of goods and services in accordance with international standards; providing additional jobs for the local population, which is especially important for countries where the arrival of labor-intensive facilities will allow the use of mainly physical rather than machine labor [</w:t>
      </w:r>
      <w:r w:rsidR="00EE2B99">
        <w:rPr>
          <w:rStyle w:val="a3"/>
          <w:rFonts w:cs="Times New Roman"/>
          <w:b w:val="0"/>
          <w:bCs w:val="0"/>
          <w:color w:val="1F1F1F"/>
          <w:sz w:val="20"/>
          <w:szCs w:val="20"/>
          <w:shd w:val="clear" w:color="auto" w:fill="FFFFFF"/>
        </w:rPr>
        <w:t>2</w:t>
      </w:r>
      <w:r w:rsidRPr="00EE2B99">
        <w:rPr>
          <w:rStyle w:val="a3"/>
          <w:rFonts w:cs="Times New Roman"/>
          <w:b w:val="0"/>
          <w:bCs w:val="0"/>
          <w:color w:val="1F1F1F"/>
          <w:sz w:val="20"/>
          <w:szCs w:val="20"/>
          <w:shd w:val="clear" w:color="auto" w:fill="FFFFFF"/>
          <w:lang w:val="en-US"/>
        </w:rPr>
        <w:t xml:space="preserve">]. </w:t>
      </w:r>
    </w:p>
    <w:p w14:paraId="5855E25D" w14:textId="77777777"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rFonts w:cs="Times New Roman"/>
          <w:b w:val="0"/>
          <w:bCs w:val="0"/>
          <w:color w:val="1F1F1F"/>
          <w:sz w:val="20"/>
          <w:szCs w:val="20"/>
          <w:shd w:val="clear" w:color="auto" w:fill="FFFFFF"/>
          <w:lang w:val="en-US"/>
        </w:rPr>
        <w:t>At the beginning of the XXI century, transnationalization of production and capital became not only a direct condition for the functioning and development of TNCs, but also a factor that largely determines the pace and proportions of development of the entire world economic system. At the very least, the growing role of foreign economic activity in TNCs' operations is becoming an increasingly effective factor in their economic growth. The scale of expansion of TNCs' activities has increased significantly due to:</w:t>
      </w:r>
    </w:p>
    <w:p w14:paraId="71D9F441" w14:textId="653382DB"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the opening of the Eastern European and post-Soviet economic spaces; </w:t>
      </w:r>
    </w:p>
    <w:p w14:paraId="517C6616" w14:textId="3E43976C"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accelerated globalization of financial markets; </w:t>
      </w:r>
    </w:p>
    <w:p w14:paraId="2C65393A" w14:textId="3733966D"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intensification of privatization processes; </w:t>
      </w:r>
    </w:p>
    <w:p w14:paraId="42513ABD" w14:textId="223544BF"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deepening interdependence of a number of countries and national economies; </w:t>
      </w:r>
    </w:p>
    <w:p w14:paraId="4147483D" w14:textId="0B4585B4"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intensification of economic competition; regional integration processes; </w:t>
      </w:r>
    </w:p>
    <w:p w14:paraId="1E5FABAD" w14:textId="6C8502F5" w:rsidR="00034BDA" w:rsidRPr="00EE2B99" w:rsidRDefault="00034BDA" w:rsidP="00034BDA">
      <w:pPr>
        <w:spacing w:after="0"/>
        <w:ind w:firstLine="425"/>
        <w:jc w:val="both"/>
        <w:rPr>
          <w:rStyle w:val="a3"/>
          <w:rFonts w:cs="Times New Roman"/>
          <w:b w:val="0"/>
          <w:bCs w:val="0"/>
          <w:color w:val="1F1F1F"/>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color w:val="1F1F1F"/>
          <w:sz w:val="20"/>
          <w:szCs w:val="20"/>
          <w:shd w:val="clear" w:color="auto" w:fill="FFFFFF"/>
          <w:lang w:val="en-US"/>
        </w:rPr>
        <w:t xml:space="preserve"> emergence of new technologies, especially in the field of communications and telecommunications, space, biotechnology [</w:t>
      </w:r>
      <w:r w:rsidR="00EE2B99">
        <w:rPr>
          <w:rStyle w:val="a3"/>
          <w:rFonts w:cs="Times New Roman"/>
          <w:b w:val="0"/>
          <w:bCs w:val="0"/>
          <w:color w:val="1F1F1F"/>
          <w:sz w:val="20"/>
          <w:szCs w:val="20"/>
          <w:shd w:val="clear" w:color="auto" w:fill="FFFFFF"/>
        </w:rPr>
        <w:t>7</w:t>
      </w:r>
      <w:r w:rsidRPr="00EE2B99">
        <w:rPr>
          <w:rStyle w:val="a3"/>
          <w:rFonts w:cs="Times New Roman"/>
          <w:b w:val="0"/>
          <w:bCs w:val="0"/>
          <w:color w:val="1F1F1F"/>
          <w:sz w:val="20"/>
          <w:szCs w:val="20"/>
          <w:shd w:val="clear" w:color="auto" w:fill="FFFFFF"/>
          <w:lang w:val="en-US"/>
        </w:rPr>
        <w:t>].</w:t>
      </w:r>
    </w:p>
    <w:p w14:paraId="154F08FE" w14:textId="3FBBA396" w:rsidR="00034BDA" w:rsidRPr="00EE2B99" w:rsidRDefault="00034BDA" w:rsidP="00315BC3">
      <w:pPr>
        <w:spacing w:after="0"/>
        <w:ind w:firstLine="425"/>
        <w:jc w:val="both"/>
        <w:rPr>
          <w:rStyle w:val="a3"/>
          <w:rFonts w:cs="Times New Roman"/>
          <w:b w:val="0"/>
          <w:bCs w:val="0"/>
          <w:color w:val="1F1F1F"/>
          <w:sz w:val="20"/>
          <w:szCs w:val="20"/>
          <w:shd w:val="clear" w:color="auto" w:fill="FFFFFF"/>
          <w:lang w:val="en-US"/>
        </w:rPr>
      </w:pPr>
      <w:r w:rsidRPr="00EE2B99">
        <w:rPr>
          <w:rStyle w:val="a3"/>
          <w:rFonts w:cs="Times New Roman"/>
          <w:b w:val="0"/>
          <w:bCs w:val="0"/>
          <w:color w:val="1F1F1F"/>
          <w:sz w:val="20"/>
          <w:szCs w:val="20"/>
          <w:shd w:val="clear" w:color="auto" w:fill="FFFFFF"/>
          <w:lang w:val="en-US"/>
        </w:rPr>
        <w:t>Since TNCs have huge capital, they are active in international financial markets. The movement of 1–2% of the mass of money held in the private sector is quite capable of changing the mutual parity of national currencies. TNCs often consider foreign exchange operations as the most profitable source of their profits. It is well known that the 1970s were characterized by a sharp increase in the volatility of international monetary relations. With the introduction of currency floatation, the range of exchange rate fluctuations in the leading developed capitalist countries expanded, and the reliability of currency forecasts sharply declined. At that time, fluctuations in nominal and relative interest rates on international loans and securities became more frequent [</w:t>
      </w:r>
      <w:r w:rsidR="00EE2B99">
        <w:rPr>
          <w:rStyle w:val="a3"/>
          <w:rFonts w:cs="Times New Roman"/>
          <w:b w:val="0"/>
          <w:bCs w:val="0"/>
          <w:color w:val="1F1F1F"/>
          <w:sz w:val="20"/>
          <w:szCs w:val="20"/>
          <w:shd w:val="clear" w:color="auto" w:fill="FFFFFF"/>
        </w:rPr>
        <w:t>4</w:t>
      </w:r>
      <w:r w:rsidRPr="00EE2B99">
        <w:rPr>
          <w:rStyle w:val="a3"/>
          <w:rFonts w:cs="Times New Roman"/>
          <w:b w:val="0"/>
          <w:bCs w:val="0"/>
          <w:color w:val="1F1F1F"/>
          <w:sz w:val="20"/>
          <w:szCs w:val="20"/>
          <w:shd w:val="clear" w:color="auto" w:fill="FFFFFF"/>
          <w:lang w:val="en-US"/>
        </w:rPr>
        <w:t>].</w:t>
      </w:r>
    </w:p>
    <w:p w14:paraId="479BDF26" w14:textId="62310325"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 xml:space="preserve">The centralization of foreign exchange positions of large corporations gives them an advantage in price competition in their home markets, as they are less likely to include in the price of goods the costs of covering currency risks and the costs of converting foreign currency into local currency. Moreover, the strategy of international monopolies allows branches to provide buyers of final products in local markets or in third countries with the freedom </w:t>
      </w:r>
      <w:r w:rsidRPr="00EE2B99">
        <w:rPr>
          <w:rStyle w:val="a3"/>
          <w:rFonts w:cs="Times New Roman"/>
          <w:b w:val="0"/>
          <w:bCs w:val="0"/>
          <w:sz w:val="20"/>
          <w:szCs w:val="20"/>
          <w:shd w:val="clear" w:color="auto" w:fill="FFFFFF"/>
          <w:lang w:val="en-US"/>
        </w:rPr>
        <w:lastRenderedPageBreak/>
        <w:t>to choose the currency of payment, and negative trends arising in the course of commercial transactions are leveled by operations of the company's central financial body in international currency and credit markets. The influence of TNCs on the world economy is dualistic. On the one hand, TNCs are a consequence (product) of dynamically developing international economic relations, and on the other hand, they themselves act as a powerful mechanism of influence on them, forming new ones and modifying the existing ones [</w:t>
      </w:r>
      <w:r w:rsidR="00EE2B99">
        <w:rPr>
          <w:rStyle w:val="a3"/>
          <w:rFonts w:cs="Times New Roman"/>
          <w:b w:val="0"/>
          <w:bCs w:val="0"/>
          <w:sz w:val="20"/>
          <w:szCs w:val="20"/>
          <w:shd w:val="clear" w:color="auto" w:fill="FFFFFF"/>
        </w:rPr>
        <w:t>2</w:t>
      </w:r>
      <w:r w:rsidRPr="00EE2B99">
        <w:rPr>
          <w:rStyle w:val="a3"/>
          <w:rFonts w:cs="Times New Roman"/>
          <w:b w:val="0"/>
          <w:bCs w:val="0"/>
          <w:sz w:val="20"/>
          <w:szCs w:val="20"/>
          <w:shd w:val="clear" w:color="auto" w:fill="FFFFFF"/>
          <w:lang w:val="en-US"/>
        </w:rPr>
        <w:t xml:space="preserve">]. </w:t>
      </w:r>
    </w:p>
    <w:p w14:paraId="469FEAAF" w14:textId="41CC9ED4"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According to the UNCTAD, in 2022, the world's 100 largest TNCs controlled assets worth $32.5 trillion, equivalent to 40% of world GDP. In 2022, the volume of global foreign direct investment (FDI) amounted to $1.6 trillion, which is 77% more than in 2020. TNCs account for about 70% of global trade in goods and services.</w:t>
      </w:r>
    </w:p>
    <w:p w14:paraId="3DEE27B9" w14:textId="0E14A0D2" w:rsidR="00034BDA" w:rsidRPr="00EA02F9" w:rsidRDefault="00034BDA" w:rsidP="00315BC3">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Forbes magazine has released its annual ranking of the world's most expensive brands, where Apple is once again the leader, but this time with impressive results. The value of the Apple brand in 2023 reached USD 352.2 billion. This is 97% more than in 2018, which demonstrates Apple's phenomenal growth and dominance in the technology market. Microsoft took the second place with a brand value of USD 229.2 billion. This is a 120% increase over 2018. This rapid growth underscores Microsoft's success in cloud computing and artificial intelligence. Amazon rounds out the top three with a brand value of USD 222.4 billion. This is an increase of 215% compared to 2018. Amazon continues to expand its presence in the e-commerce and cloud services market, leading to a significant increase in brand value. In addition, we note that Facebook (Meta) lost second place, but still ranks 4th with a brand value of $200.8 billion. Google dropped to 5th place with a brand value of $191.3 billion. Tesla rapidly burst into the ranking, taking 47th place with a brand value of $38.4 billion. Huawei, despite the US sanctions, continues to grow and ranks 70th with a brand value of USD 15.3 billion. The company is ranked 70th with a brand value of $15.3 billion. It should be noted that the Forbes ranking is based on several factors, such as the company's financial performance, brand strength, and brand influence on consumers. The updated 2023 ranking clearly demonstrates the dominance of technology companies and the rapid growth of Chinese brands</w:t>
      </w:r>
      <w:r w:rsidR="00EE2B99">
        <w:rPr>
          <w:rStyle w:val="a3"/>
          <w:rFonts w:cs="Times New Roman"/>
          <w:b w:val="0"/>
          <w:bCs w:val="0"/>
          <w:sz w:val="20"/>
          <w:szCs w:val="20"/>
          <w:shd w:val="clear" w:color="auto" w:fill="FFFFFF"/>
        </w:rPr>
        <w:t xml:space="preserve"> </w:t>
      </w:r>
      <w:r w:rsidR="00EE2B99" w:rsidRPr="00EE2B99">
        <w:rPr>
          <w:rStyle w:val="a3"/>
          <w:rFonts w:cs="Times New Roman"/>
          <w:b w:val="0"/>
          <w:bCs w:val="0"/>
          <w:sz w:val="20"/>
          <w:szCs w:val="20"/>
          <w:shd w:val="clear" w:color="auto" w:fill="FFFFFF"/>
          <w:lang w:val="en-US"/>
        </w:rPr>
        <w:t>[</w:t>
      </w:r>
      <w:r w:rsidR="00EE2B99">
        <w:rPr>
          <w:rStyle w:val="a3"/>
          <w:rFonts w:cs="Times New Roman"/>
          <w:b w:val="0"/>
          <w:bCs w:val="0"/>
          <w:sz w:val="20"/>
          <w:szCs w:val="20"/>
          <w:shd w:val="clear" w:color="auto" w:fill="FFFFFF"/>
        </w:rPr>
        <w:t>3</w:t>
      </w:r>
      <w:r w:rsidR="00EE2B99" w:rsidRPr="00EE2B99">
        <w:rPr>
          <w:rStyle w:val="a3"/>
          <w:rFonts w:cs="Times New Roman"/>
          <w:b w:val="0"/>
          <w:bCs w:val="0"/>
          <w:sz w:val="20"/>
          <w:szCs w:val="20"/>
          <w:shd w:val="clear" w:color="auto" w:fill="FFFFFF"/>
          <w:lang w:val="en-US"/>
        </w:rPr>
        <w:t>].</w:t>
      </w:r>
      <w:r w:rsidR="00EA02F9">
        <w:rPr>
          <w:rStyle w:val="a3"/>
          <w:rFonts w:cs="Times New Roman"/>
          <w:b w:val="0"/>
          <w:bCs w:val="0"/>
          <w:sz w:val="20"/>
          <w:szCs w:val="20"/>
          <w:shd w:val="clear" w:color="auto" w:fill="FFFFFF"/>
        </w:rPr>
        <w:t xml:space="preserve"> </w:t>
      </w:r>
    </w:p>
    <w:p w14:paraId="561AEDC8" w14:textId="5D04362B" w:rsidR="00034BDA" w:rsidRPr="00EA02F9" w:rsidRDefault="00034BDA" w:rsidP="00034BDA">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In 2023, the Fortune Global 500 ranking included TNCs from 39 countries. The United States traditionally leads the way in terms of the number of companies in the ranking (122), followed by China (135), Japan (52), and Germany (27).</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The key trends of the Fortune Global 500 in 2023 include</w:t>
      </w:r>
      <w:r w:rsidR="00EA02F9">
        <w:rPr>
          <w:rStyle w:val="a3"/>
          <w:rFonts w:cs="Times New Roman"/>
          <w:b w:val="0"/>
          <w:bCs w:val="0"/>
          <w:sz w:val="20"/>
          <w:szCs w:val="20"/>
          <w:shd w:val="clear" w:color="auto" w:fill="FFFFFF"/>
        </w:rPr>
        <w:t>:</w:t>
      </w:r>
    </w:p>
    <w:p w14:paraId="6220F2FD" w14:textId="4B7083BE"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the growing role of TNCs from developing countries. Chinese TNCs continue to increase their presence in the ranking, while Indian and Brazilian TNCs also show steady growth;</w:t>
      </w:r>
    </w:p>
    <w:p w14:paraId="2516ABE1" w14:textId="77D2B951"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w:t>
      </w:r>
      <w:r w:rsidR="00EE2B99" w:rsidRPr="00EE2B99">
        <w:rPr>
          <w:rStyle w:val="a3"/>
          <w:rFonts w:cs="Times New Roman"/>
          <w:b w:val="0"/>
          <w:bCs w:val="0"/>
          <w:sz w:val="20"/>
          <w:szCs w:val="20"/>
          <w:shd w:val="clear" w:color="auto" w:fill="FFFFFF"/>
          <w:lang w:val="en-US"/>
        </w:rPr>
        <w:t>c</w:t>
      </w:r>
      <w:r w:rsidRPr="00EE2B99">
        <w:rPr>
          <w:rStyle w:val="a3"/>
          <w:rFonts w:cs="Times New Roman"/>
          <w:b w:val="0"/>
          <w:bCs w:val="0"/>
          <w:sz w:val="20"/>
          <w:szCs w:val="20"/>
          <w:shd w:val="clear" w:color="auto" w:fill="FFFFFF"/>
          <w:lang w:val="en-US"/>
        </w:rPr>
        <w:t>hanges in the industry structure of the ranking. Technology and pharmaceutical companies continue to push traditional energy and industrial TNCs out of the ranking;</w:t>
      </w:r>
    </w:p>
    <w:p w14:paraId="71CC93A7" w14:textId="6BF53285"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the growing importance of environmental and social factors. TNCs are increasingly paying attention to environmental issues, social responsibility and corporate governance.</w:t>
      </w:r>
    </w:p>
    <w:p w14:paraId="5049615B" w14:textId="6A1C59D3" w:rsidR="00034BDA" w:rsidRPr="00EE2B99" w:rsidRDefault="00034BDA" w:rsidP="00034BDA">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The transnationalization of the global economy is caused by a number of factors, such as</w:t>
      </w:r>
      <w:r w:rsidR="00EE2B99">
        <w:rPr>
          <w:rStyle w:val="a3"/>
          <w:rFonts w:cs="Times New Roman"/>
          <w:b w:val="0"/>
          <w:bCs w:val="0"/>
          <w:sz w:val="20"/>
          <w:szCs w:val="20"/>
          <w:shd w:val="clear" w:color="auto" w:fill="FFFFFF"/>
        </w:rPr>
        <w:t>:</w:t>
      </w:r>
    </w:p>
    <w:p w14:paraId="2A28CB48" w14:textId="6C6CEB04"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scientific and technological progress and the development of information technologies that facilitate communication, coordination and business on an international level;</w:t>
      </w:r>
    </w:p>
    <w:p w14:paraId="7A0B6038" w14:textId="50E79833"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liberalization of trade and investment, which has led to lower barriers to international business;</w:t>
      </w:r>
    </w:p>
    <w:p w14:paraId="2C1A0638" w14:textId="6B17D7C4" w:rsidR="00034BDA" w:rsidRPr="00EE2B99" w:rsidRDefault="00034BDA" w:rsidP="00034BDA">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globalization </w:t>
      </w: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the process of growing interdependence and interconnection of countries in all spheres of life.</w:t>
      </w:r>
    </w:p>
    <w:p w14:paraId="6FA13373"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Transnationalization has both positive and negative consequences. The positive effects include:</w:t>
      </w:r>
    </w:p>
    <w:p w14:paraId="163FC156" w14:textId="2B69C964"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economic growth: transnationalization stimulates economic growth by increasing trade, investment and technology transfer;</w:t>
      </w:r>
    </w:p>
    <w:p w14:paraId="26E8ABC7" w14:textId="39E10F64"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job creation: TNCs create jobs in the countries where they locate their production facilities and headquarters;</w:t>
      </w:r>
    </w:p>
    <w:p w14:paraId="4712B939" w14:textId="3D0D7E68"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w:t>
      </w:r>
      <w:r w:rsidR="00EE2B99" w:rsidRPr="00EE2B99">
        <w:rPr>
          <w:rStyle w:val="a3"/>
          <w:rFonts w:cs="Times New Roman"/>
          <w:b w:val="0"/>
          <w:bCs w:val="0"/>
          <w:sz w:val="20"/>
          <w:szCs w:val="20"/>
          <w:shd w:val="clear" w:color="auto" w:fill="FFFFFF"/>
          <w:lang w:val="en-US"/>
        </w:rPr>
        <w:t>i</w:t>
      </w:r>
      <w:r w:rsidRPr="00EE2B99">
        <w:rPr>
          <w:rStyle w:val="a3"/>
          <w:rFonts w:cs="Times New Roman"/>
          <w:b w:val="0"/>
          <w:bCs w:val="0"/>
          <w:sz w:val="20"/>
          <w:szCs w:val="20"/>
          <w:shd w:val="clear" w:color="auto" w:fill="FFFFFF"/>
          <w:lang w:val="en-US"/>
        </w:rPr>
        <w:t>ncreased welfare: transnationalization can contribute to increased welfare in the countries where they locate their production facilities by creating jobs and raising wages.</w:t>
      </w:r>
    </w:p>
    <w:p w14:paraId="3458A7EF"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The negative effects are:</w:t>
      </w:r>
    </w:p>
    <w:p w14:paraId="482F48B3" w14:textId="5F66A1DD"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economic inequality: transnationalization can lead to increased economic inequality between and within countries;</w:t>
      </w:r>
    </w:p>
    <w:p w14:paraId="5904E2CD" w14:textId="1A28883E"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loss of sovereignty: some countries fear that transnationalization may lead to a loss of sovereignty and control over their own economies;</w:t>
      </w:r>
    </w:p>
    <w:p w14:paraId="2B7DC244" w14:textId="236EE5E2"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ethical issues: TNCs can be accused of labor exploitation, human rights violations, and environmental damage.</w:t>
      </w:r>
    </w:p>
    <w:p w14:paraId="129284D8"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Modern transnational corporations are characterized not only by the scale and transnational nature of their activities, but also by flexible and dynamic forms of production organization. One of the key features of TNCs is the development and use of various forms of international division of labor (IDL) within their internal corporate structure.</w:t>
      </w:r>
    </w:p>
    <w:p w14:paraId="3CCCFF46" w14:textId="3898A42E"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ILD is an objective process that results from the concentration of production on certain types of products, parts, assemblies, and technological operations. It leads to the specialization of countries, enterprises, and TNCs, which allows them to use their competitive advantages, save resources, and improve the quality and competitiveness of their products.</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TNC use three main forms of MNEs:</w:t>
      </w:r>
    </w:p>
    <w:p w14:paraId="1F69E9F0" w14:textId="626BDF83"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subject specialization: The TNC concentrates the production of the final product in one country, and the production of individual parts, subassemblies, components in other countries where favorable conditions exist;</w:t>
      </w:r>
    </w:p>
    <w:p w14:paraId="3D4056EF" w14:textId="0C51C472"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itemized specialization: A TNC breaks down the production process into separate stages and places them in different countries where it is profitable to produce a particular part;</w:t>
      </w:r>
    </w:p>
    <w:p w14:paraId="6853D1E2" w14:textId="27975CFE"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operational (technological) specialization: The TNC distributes certain technological operations (casting, stamping, welding, painting) to different countries where the necessary resources, technologies and skilled labor force are available.</w:t>
      </w:r>
    </w:p>
    <w:p w14:paraId="72A7BABE" w14:textId="5E00793F" w:rsidR="00B66008" w:rsidRPr="00E9413E" w:rsidRDefault="00B66008" w:rsidP="00B66008">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lastRenderedPageBreak/>
        <w:t>It is important to emphasize that TNCs do not simply transfer a part of the production process to another country. Their strategy is to rationally locate the production of parts, semi-finished products, and components at facilities that best meet the needs of regions and continents. This allows them to</w:t>
      </w:r>
      <w:r w:rsidR="00E9413E">
        <w:rPr>
          <w:rStyle w:val="a3"/>
          <w:rFonts w:cs="Times New Roman"/>
          <w:b w:val="0"/>
          <w:bCs w:val="0"/>
          <w:sz w:val="20"/>
          <w:szCs w:val="20"/>
          <w:shd w:val="clear" w:color="auto" w:fill="FFFFFF"/>
        </w:rPr>
        <w:t>:</w:t>
      </w:r>
    </w:p>
    <w:p w14:paraId="27B3FD97" w14:textId="6474557D" w:rsidR="00B66008" w:rsidRPr="00E9413E" w:rsidRDefault="00B66008" w:rsidP="00B66008">
      <w:pPr>
        <w:spacing w:after="0"/>
        <w:ind w:firstLine="425"/>
        <w:jc w:val="both"/>
        <w:rPr>
          <w:rStyle w:val="a3"/>
          <w:rFonts w:cs="Times New Roman"/>
          <w:b w:val="0"/>
          <w:bCs w:val="0"/>
          <w:sz w:val="20"/>
          <w:szCs w:val="20"/>
          <w:shd w:val="clear" w:color="auto" w:fill="FFFFFF"/>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reduce production costs by using cheap labor, available resources, and favorable tax regimes</w:t>
      </w:r>
      <w:r w:rsidR="00E9413E">
        <w:rPr>
          <w:rStyle w:val="a3"/>
          <w:rFonts w:cs="Times New Roman"/>
          <w:b w:val="0"/>
          <w:bCs w:val="0"/>
          <w:sz w:val="20"/>
          <w:szCs w:val="20"/>
          <w:shd w:val="clear" w:color="auto" w:fill="FFFFFF"/>
        </w:rPr>
        <w:t>;</w:t>
      </w:r>
    </w:p>
    <w:p w14:paraId="3F14595B" w14:textId="693AA6A0"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increase flexibility and adaptability to changing conditions in the markets of different countries;</w:t>
      </w:r>
    </w:p>
    <w:p w14:paraId="0AB4C730" w14:textId="63A124CA" w:rsidR="00B66008" w:rsidRPr="00EA02F9" w:rsidRDefault="00B66008" w:rsidP="00B66008">
      <w:pPr>
        <w:spacing w:after="0"/>
        <w:ind w:firstLine="425"/>
        <w:jc w:val="both"/>
        <w:rPr>
          <w:rStyle w:val="a3"/>
          <w:rFonts w:cs="Times New Roman"/>
          <w:b w:val="0"/>
          <w:bCs w:val="0"/>
          <w:sz w:val="20"/>
          <w:szCs w:val="20"/>
          <w:shd w:val="clear" w:color="auto" w:fill="FFFFFF"/>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to take into account the specifics and demands of local consumers when assembling and upgrading final products</w:t>
      </w:r>
      <w:r w:rsidR="00EA02F9">
        <w:rPr>
          <w:rStyle w:val="a3"/>
          <w:rFonts w:cs="Times New Roman"/>
          <w:b w:val="0"/>
          <w:bCs w:val="0"/>
          <w:sz w:val="20"/>
          <w:szCs w:val="20"/>
          <w:shd w:val="clear" w:color="auto" w:fill="FFFFFF"/>
        </w:rPr>
        <w:t>.</w:t>
      </w:r>
    </w:p>
    <w:p w14:paraId="544A28B8" w14:textId="35E20A3F" w:rsidR="00B66008" w:rsidRPr="001660FD" w:rsidRDefault="00B66008" w:rsidP="00B66008">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TNCs locate the assembly of final products in close proximity to sales markets, which allows</w:t>
      </w:r>
      <w:r w:rsidR="001660FD">
        <w:rPr>
          <w:rStyle w:val="a3"/>
          <w:rFonts w:cs="Times New Roman"/>
          <w:b w:val="0"/>
          <w:bCs w:val="0"/>
          <w:sz w:val="20"/>
          <w:szCs w:val="20"/>
          <w:shd w:val="clear" w:color="auto" w:fill="FFFFFF"/>
        </w:rPr>
        <w:t>:</w:t>
      </w:r>
    </w:p>
    <w:p w14:paraId="3C090218" w14:textId="6787D54A"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reduce transportation costs;</w:t>
      </w:r>
    </w:p>
    <w:p w14:paraId="40A23819" w14:textId="3BAFD772" w:rsidR="00B66008" w:rsidRPr="001660FD" w:rsidRDefault="00B66008" w:rsidP="00B66008">
      <w:pPr>
        <w:spacing w:after="0"/>
        <w:ind w:firstLine="425"/>
        <w:jc w:val="both"/>
        <w:rPr>
          <w:rStyle w:val="a3"/>
          <w:rFonts w:cs="Times New Roman"/>
          <w:b w:val="0"/>
          <w:bCs w:val="0"/>
          <w:sz w:val="20"/>
          <w:szCs w:val="20"/>
          <w:shd w:val="clear" w:color="auto" w:fill="FFFFFF"/>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reduce delivery time</w:t>
      </w:r>
      <w:r w:rsidR="001660FD">
        <w:rPr>
          <w:rStyle w:val="a3"/>
          <w:rFonts w:cs="Times New Roman"/>
          <w:b w:val="0"/>
          <w:bCs w:val="0"/>
          <w:sz w:val="20"/>
          <w:szCs w:val="20"/>
          <w:shd w:val="clear" w:color="auto" w:fill="FFFFFF"/>
        </w:rPr>
        <w:t>;</w:t>
      </w:r>
    </w:p>
    <w:p w14:paraId="2A4EE7B5" w14:textId="307BA6D5"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increase the speed of response to changes in demand;</w:t>
      </w:r>
    </w:p>
    <w:p w14:paraId="22F8981D" w14:textId="17F97B4F"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better understanding of the needs of local consumers.</w:t>
      </w:r>
    </w:p>
    <w:p w14:paraId="2A90881D"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The development and use of various forms of MNEs within TNCs is an important factor in increasing their competitiveness in the global market. This contributes to the development of international trade and investment, technology transfer, and the creation of new jobs around the world.</w:t>
      </w:r>
    </w:p>
    <w:p w14:paraId="05C277C3"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In 2023, about 75% of TNCs' final products were assembled in the countries of sale, which led to a 20-25% reduction in transportation costs. Delivery times for products were reduced by 3-4 days. Localization of assembly enables MNCs to respond to changes in demand 15% faster.</w:t>
      </w:r>
    </w:p>
    <w:p w14:paraId="44FC81CC"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Given the trends in the development and application of artificial intelligence and robotics, this may lead to the automation of some production processes and a change in the geography of production location. In addition, the growth of environmental and social requirements makes TNCs take a responsible approach to the choice of production locations. Trade wars and geopolitical risks may negatively affect the location of TNCs' production facilities. For example, Apple: continues to locate iPhone production in China, but is also expanding its presence in other countries, such as India and Vietnam. Nike: due to its flexible production strategy, it can quickly adapt its products to the needs of different markets. Toyota: Actively uses assembly localization, which allows it to be a leader in car sales in many markets. It is important to note that the location of TNC production is a dynamic process that is constantly evolving.</w:t>
      </w:r>
    </w:p>
    <w:p w14:paraId="474D8B1D" w14:textId="503614BB"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The strategic development of TNCs in the modern world is characterized by multi-vector nature, with a focus on achieving resilience to dynamic changes in the business environment. Cost minimization, driven by increased competition and the rising cost of innovation, is also a key priority, as is the development of operational flexibility. It is important to emphasize that the successful implementation of TNCs' global strategies is possible only if the national regime for foreign direct investment is favorable.</w:t>
      </w:r>
    </w:p>
    <w:p w14:paraId="1578476A"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Entering new markets poses a dilemma for an international corporation to choose between global integration and rapid adaptation to the specifics of the local market. The first option involves centralization and standardization of procedures in structural units, while the second option involves granting them greater autonomy.</w:t>
      </w:r>
    </w:p>
    <w:p w14:paraId="1EF142A3"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The set of factors that influence the choice of the type of global strategy of a TNC can be divided into two groups:</w:t>
      </w:r>
    </w:p>
    <w:p w14:paraId="28961A2B" w14:textId="77777777"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Factors determining the choice of global integration:</w:t>
      </w:r>
    </w:p>
    <w:p w14:paraId="2176AAE1" w14:textId="6B42671B"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economies of scale;</w:t>
      </w:r>
    </w:p>
    <w:p w14:paraId="6086499C" w14:textId="1E8E525A"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standardization of products and services;</w:t>
      </w:r>
    </w:p>
    <w:p w14:paraId="1AC2D7A4" w14:textId="16160F1D"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control over quality and brand;</w:t>
      </w:r>
    </w:p>
    <w:p w14:paraId="3FD76C9E" w14:textId="4CAFE221"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optimization of supply chains.</w:t>
      </w:r>
    </w:p>
    <w:p w14:paraId="248F4277" w14:textId="29DDFAF8"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Factors that require a quick response to local demand:</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cultural characteristics</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economic and political conditions;</w:t>
      </w:r>
    </w:p>
    <w:p w14:paraId="379ADDC6" w14:textId="17539329" w:rsidR="00B66008" w:rsidRPr="00EE2B99" w:rsidRDefault="00B66008" w:rsidP="00B66008">
      <w:pPr>
        <w:spacing w:after="0"/>
        <w:ind w:firstLine="425"/>
        <w:jc w:val="both"/>
        <w:rPr>
          <w:rStyle w:val="a3"/>
          <w:rFonts w:cs="Times New Roman"/>
          <w:b w:val="0"/>
          <w:bCs w:val="0"/>
          <w:sz w:val="20"/>
          <w:szCs w:val="20"/>
          <w:shd w:val="clear" w:color="auto" w:fill="FFFFFF"/>
          <w:lang w:val="en-US"/>
        </w:rPr>
      </w:pPr>
      <w:r w:rsidRPr="00EE2B99">
        <w:rPr>
          <w:rStyle w:val="a3"/>
          <w:b w:val="0"/>
          <w:bCs w:val="0"/>
          <w:sz w:val="20"/>
          <w:szCs w:val="20"/>
          <w:lang w:val="en-US"/>
        </w:rPr>
        <w:t>–</w:t>
      </w:r>
      <w:r w:rsidRPr="00EE2B99">
        <w:rPr>
          <w:rStyle w:val="a3"/>
          <w:rFonts w:cs="Times New Roman"/>
          <w:b w:val="0"/>
          <w:bCs w:val="0"/>
          <w:sz w:val="20"/>
          <w:szCs w:val="20"/>
          <w:shd w:val="clear" w:color="auto" w:fill="FFFFFF"/>
          <w:lang w:val="en-US"/>
        </w:rPr>
        <w:t xml:space="preserve"> competitive environment</w:t>
      </w:r>
      <w:r w:rsidR="00EA02F9">
        <w:rPr>
          <w:rStyle w:val="a3"/>
          <w:rFonts w:cs="Times New Roman"/>
          <w:b w:val="0"/>
          <w:bCs w:val="0"/>
          <w:sz w:val="20"/>
          <w:szCs w:val="20"/>
          <w:shd w:val="clear" w:color="auto" w:fill="FFFFFF"/>
        </w:rPr>
        <w:t xml:space="preserve">, </w:t>
      </w:r>
      <w:r w:rsidRPr="00EE2B99">
        <w:rPr>
          <w:rStyle w:val="a3"/>
          <w:rFonts w:cs="Times New Roman"/>
          <w:b w:val="0"/>
          <w:bCs w:val="0"/>
          <w:sz w:val="20"/>
          <w:szCs w:val="20"/>
          <w:shd w:val="clear" w:color="auto" w:fill="FFFFFF"/>
          <w:lang w:val="en-US"/>
        </w:rPr>
        <w:t>specifics of local needs.</w:t>
      </w:r>
    </w:p>
    <w:p w14:paraId="5B025A31" w14:textId="16F9F40F" w:rsidR="00B66008" w:rsidRPr="00EE2B99" w:rsidRDefault="00B66008" w:rsidP="00EA02F9">
      <w:pPr>
        <w:spacing w:after="0"/>
        <w:ind w:firstLine="425"/>
        <w:jc w:val="both"/>
        <w:rPr>
          <w:rStyle w:val="a3"/>
          <w:rFonts w:cs="Times New Roman"/>
          <w:b w:val="0"/>
          <w:bCs w:val="0"/>
          <w:sz w:val="20"/>
          <w:szCs w:val="20"/>
          <w:shd w:val="clear" w:color="auto" w:fill="FFFFFF"/>
          <w:lang w:val="en-US"/>
        </w:rPr>
      </w:pPr>
      <w:r w:rsidRPr="00DF75A4">
        <w:rPr>
          <w:rStyle w:val="a3"/>
          <w:rFonts w:cs="Times New Roman"/>
          <w:sz w:val="20"/>
          <w:szCs w:val="20"/>
          <w:shd w:val="clear" w:color="auto" w:fill="FFFFFF"/>
          <w:lang w:val="en-US"/>
        </w:rPr>
        <w:t>Conclusions.</w:t>
      </w:r>
      <w:r w:rsidRPr="00EE2B99">
        <w:rPr>
          <w:rStyle w:val="a3"/>
          <w:rFonts w:cs="Times New Roman"/>
          <w:b w:val="0"/>
          <w:bCs w:val="0"/>
          <w:sz w:val="20"/>
          <w:szCs w:val="20"/>
          <w:shd w:val="clear" w:color="auto" w:fill="FFFFFF"/>
          <w:lang w:val="en-US"/>
        </w:rPr>
        <w:t xml:space="preserve"> Thus, transnationalization of the world economy is an objective and dynamic process that has a significant impact on all aspects of society. International business plays a key role in transnationalization, acting as a driving force for globalization and integration of economies of different countries.</w:t>
      </w:r>
      <w:r w:rsidR="00EA02F9">
        <w:rPr>
          <w:rStyle w:val="a3"/>
          <w:rFonts w:cs="Times New Roman"/>
          <w:b w:val="0"/>
          <w:bCs w:val="0"/>
          <w:sz w:val="20"/>
          <w:szCs w:val="20"/>
          <w:shd w:val="clear" w:color="auto" w:fill="FFFFFF"/>
        </w:rPr>
        <w:t xml:space="preserve"> І</w:t>
      </w:r>
      <w:r w:rsidRPr="00EE2B99">
        <w:rPr>
          <w:rStyle w:val="a3"/>
          <w:rFonts w:cs="Times New Roman"/>
          <w:b w:val="0"/>
          <w:bCs w:val="0"/>
          <w:sz w:val="20"/>
          <w:szCs w:val="20"/>
          <w:shd w:val="clear" w:color="auto" w:fill="FFFFFF"/>
          <w:lang w:val="en-US"/>
        </w:rPr>
        <w:t>t can be stated that the transnationalization of the global economy and international business open up new opportunities for development, but also pose a number of serious challenges to the global community. It is important to cooperate internationally to address these challenges and ensure sustainable and equitable development of all countries.</w:t>
      </w:r>
    </w:p>
    <w:p w14:paraId="4ADECBC3" w14:textId="77777777" w:rsidR="00B66008" w:rsidRPr="00EA02F9" w:rsidRDefault="00B66008" w:rsidP="003B08F3">
      <w:pPr>
        <w:spacing w:after="0"/>
        <w:ind w:firstLine="425"/>
        <w:rPr>
          <w:rStyle w:val="a3"/>
          <w:rFonts w:cs="Times New Roman"/>
          <w:b w:val="0"/>
          <w:bCs w:val="0"/>
          <w:sz w:val="10"/>
          <w:szCs w:val="10"/>
          <w:shd w:val="clear" w:color="auto" w:fill="FFFFFF"/>
          <w:lang w:val="en-US"/>
        </w:rPr>
      </w:pPr>
    </w:p>
    <w:p w14:paraId="6A5ECF1E" w14:textId="58D14DD3" w:rsidR="00B66008" w:rsidRPr="00EE2B99" w:rsidRDefault="00B66008" w:rsidP="00B66008">
      <w:pPr>
        <w:spacing w:after="0"/>
        <w:ind w:firstLine="425"/>
        <w:jc w:val="center"/>
        <w:rPr>
          <w:b/>
          <w:bCs/>
          <w:sz w:val="20"/>
          <w:szCs w:val="20"/>
          <w:lang w:val="en-US"/>
        </w:rPr>
      </w:pPr>
      <w:r w:rsidRPr="00EE2B99">
        <w:rPr>
          <w:b/>
          <w:bCs/>
          <w:sz w:val="20"/>
          <w:szCs w:val="20"/>
          <w:lang w:val="en-US"/>
        </w:rPr>
        <w:t>References</w:t>
      </w:r>
    </w:p>
    <w:p w14:paraId="3EAC74CE" w14:textId="7C41528C" w:rsidR="00DB4EA6" w:rsidRPr="00DB4EA6" w:rsidRDefault="00793C07" w:rsidP="00DB4EA6">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 xml:space="preserve">1. Makarchuk K.O. (2021). </w:t>
      </w:r>
      <w:r w:rsidR="00DB4EA6" w:rsidRPr="00DB4EA6">
        <w:rPr>
          <w:rStyle w:val="a3"/>
          <w:rFonts w:cs="Times New Roman"/>
          <w:b w:val="0"/>
          <w:bCs w:val="0"/>
          <w:sz w:val="20"/>
          <w:szCs w:val="20"/>
          <w:shd w:val="clear" w:color="auto" w:fill="FFFFFF"/>
          <w:lang w:val="en-US"/>
        </w:rPr>
        <w:t>Transnational corporations and transnational banks as subjects of international business. Bulletin of V.N. Karazin Kharkiv National University. 3(1), 41-46.</w:t>
      </w:r>
    </w:p>
    <w:p w14:paraId="7136B692" w14:textId="2360B077" w:rsidR="00DB4EA6" w:rsidRPr="00DB4EA6" w:rsidRDefault="00793C07" w:rsidP="00DB4EA6">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 xml:space="preserve">2. Pavlyuk T.S. and Didenko M.V. (2020). </w:t>
      </w:r>
      <w:r w:rsidR="00DB4EA6" w:rsidRPr="00DB4EA6">
        <w:rPr>
          <w:rStyle w:val="a3"/>
          <w:rFonts w:cs="Times New Roman"/>
          <w:b w:val="0"/>
          <w:bCs w:val="0"/>
          <w:sz w:val="20"/>
          <w:szCs w:val="20"/>
          <w:shd w:val="clear" w:color="auto" w:fill="FFFFFF"/>
          <w:lang w:val="en-US"/>
        </w:rPr>
        <w:t>Analysis of the development of world TNCs: experience for Ukraine.</w:t>
      </w:r>
    </w:p>
    <w:p w14:paraId="73915840" w14:textId="712B6016" w:rsidR="00DB4EA6" w:rsidRPr="00DB4EA6" w:rsidRDefault="00DB4EA6" w:rsidP="00DB4EA6">
      <w:pPr>
        <w:spacing w:after="0"/>
        <w:jc w:val="both"/>
        <w:rPr>
          <w:rStyle w:val="a3"/>
          <w:rFonts w:cs="Times New Roman"/>
          <w:b w:val="0"/>
          <w:bCs w:val="0"/>
          <w:sz w:val="20"/>
          <w:szCs w:val="20"/>
          <w:shd w:val="clear" w:color="auto" w:fill="FFFFFF"/>
          <w:lang w:val="en-US"/>
        </w:rPr>
      </w:pPr>
      <w:r w:rsidRPr="00DB4EA6">
        <w:rPr>
          <w:rStyle w:val="a3"/>
          <w:rFonts w:cs="Times New Roman"/>
          <w:b w:val="0"/>
          <w:bCs w:val="0"/>
          <w:sz w:val="20"/>
          <w:szCs w:val="20"/>
          <w:shd w:val="clear" w:color="auto" w:fill="FFFFFF"/>
          <w:lang w:val="en-US"/>
        </w:rPr>
        <w:t>Economy and society, 5, 46-52.</w:t>
      </w:r>
    </w:p>
    <w:p w14:paraId="3CFF8765" w14:textId="4DF2ACA0" w:rsidR="00793C07" w:rsidRPr="00EE2B99" w:rsidRDefault="00793C07" w:rsidP="00793C07">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3. The World’s Most Valuable Brands List – Forbes (2023)</w:t>
      </w:r>
      <w:r w:rsidR="002837D0" w:rsidRPr="00EE2B99">
        <w:rPr>
          <w:rStyle w:val="a3"/>
          <w:rFonts w:cs="Times New Roman"/>
          <w:b w:val="0"/>
          <w:bCs w:val="0"/>
          <w:sz w:val="20"/>
          <w:szCs w:val="20"/>
          <w:shd w:val="clear" w:color="auto" w:fill="FFFFFF"/>
          <w:lang w:val="en-US"/>
        </w:rPr>
        <w:t>.</w:t>
      </w:r>
      <w:r w:rsidRPr="00EE2B99">
        <w:rPr>
          <w:rStyle w:val="a3"/>
          <w:rFonts w:cs="Times New Roman"/>
          <w:b w:val="0"/>
          <w:bCs w:val="0"/>
          <w:sz w:val="20"/>
          <w:szCs w:val="20"/>
          <w:shd w:val="clear" w:color="auto" w:fill="FFFFFF"/>
          <w:lang w:val="en-US"/>
        </w:rPr>
        <w:t xml:space="preserve"> </w:t>
      </w:r>
      <w:r w:rsidR="002837D0" w:rsidRPr="00EE2B99">
        <w:rPr>
          <w:rStyle w:val="a3"/>
          <w:rFonts w:cs="Times New Roman"/>
          <w:b w:val="0"/>
          <w:bCs w:val="0"/>
          <w:sz w:val="20"/>
          <w:szCs w:val="20"/>
          <w:shd w:val="clear" w:color="auto" w:fill="FFFFFF"/>
          <w:lang w:val="en-US"/>
        </w:rPr>
        <w:t>URL</w:t>
      </w:r>
      <w:r w:rsidRPr="00EE2B99">
        <w:rPr>
          <w:rStyle w:val="a3"/>
          <w:rFonts w:cs="Times New Roman"/>
          <w:b w:val="0"/>
          <w:bCs w:val="0"/>
          <w:sz w:val="20"/>
          <w:szCs w:val="20"/>
          <w:shd w:val="clear" w:color="auto" w:fill="FFFFFF"/>
          <w:lang w:val="en-US"/>
        </w:rPr>
        <w:t xml:space="preserve">: https://www.forbes.com/powerfulbrands/list/ </w:t>
      </w:r>
    </w:p>
    <w:p w14:paraId="3CDC8CCA" w14:textId="776D4968" w:rsidR="00DB4EA6" w:rsidRPr="00DB4EA6" w:rsidRDefault="00793C07" w:rsidP="000B65AB">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4. Riabets</w:t>
      </w:r>
      <w:r w:rsidR="002837D0" w:rsidRPr="00EE2B99">
        <w:rPr>
          <w:rStyle w:val="a3"/>
          <w:rFonts w:cs="Times New Roman"/>
          <w:b w:val="0"/>
          <w:bCs w:val="0"/>
          <w:sz w:val="20"/>
          <w:szCs w:val="20"/>
          <w:shd w:val="clear" w:color="auto" w:fill="FFFFFF"/>
          <w:lang w:val="en-US"/>
        </w:rPr>
        <w:t xml:space="preserve"> </w:t>
      </w:r>
      <w:r w:rsidRPr="00EE2B99">
        <w:rPr>
          <w:rStyle w:val="a3"/>
          <w:rFonts w:cs="Times New Roman"/>
          <w:b w:val="0"/>
          <w:bCs w:val="0"/>
          <w:sz w:val="20"/>
          <w:szCs w:val="20"/>
          <w:shd w:val="clear" w:color="auto" w:fill="FFFFFF"/>
          <w:lang w:val="en-US"/>
        </w:rPr>
        <w:t xml:space="preserve">N.M. (2020). </w:t>
      </w:r>
      <w:r w:rsidR="000B65AB" w:rsidRPr="000B65AB">
        <w:rPr>
          <w:rStyle w:val="a3"/>
          <w:rFonts w:cs="Times New Roman"/>
          <w:b w:val="0"/>
          <w:bCs w:val="0"/>
          <w:sz w:val="20"/>
          <w:szCs w:val="20"/>
          <w:shd w:val="clear" w:color="auto" w:fill="FFFFFF"/>
        </w:rPr>
        <w:t>The role of TNCs in developing countries in the context of increasing disproportions of economic</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development of countries</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Foreign trade: economics, finance, law</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2</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39-45.</w:t>
      </w:r>
    </w:p>
    <w:p w14:paraId="45FA0140" w14:textId="0E45154B" w:rsidR="000B65AB" w:rsidRPr="000B65AB" w:rsidRDefault="00793C07" w:rsidP="000B65AB">
      <w:pPr>
        <w:spacing w:after="0"/>
        <w:ind w:firstLine="425"/>
        <w:jc w:val="both"/>
        <w:rPr>
          <w:rStyle w:val="a3"/>
          <w:rFonts w:cs="Times New Roman"/>
          <w:b w:val="0"/>
          <w:bCs w:val="0"/>
          <w:sz w:val="20"/>
          <w:szCs w:val="20"/>
          <w:shd w:val="clear" w:color="auto" w:fill="FFFFFF"/>
        </w:rPr>
      </w:pPr>
      <w:r w:rsidRPr="00EE2B99">
        <w:rPr>
          <w:rStyle w:val="a3"/>
          <w:rFonts w:cs="Times New Roman"/>
          <w:b w:val="0"/>
          <w:bCs w:val="0"/>
          <w:sz w:val="20"/>
          <w:szCs w:val="20"/>
          <w:shd w:val="clear" w:color="auto" w:fill="FFFFFF"/>
          <w:lang w:val="en-US"/>
        </w:rPr>
        <w:t xml:space="preserve">5. Liashenko V.I. </w:t>
      </w:r>
      <w:r w:rsidR="000B65AB" w:rsidRPr="000B65AB">
        <w:rPr>
          <w:rStyle w:val="a3"/>
          <w:rFonts w:cs="Times New Roman"/>
          <w:b w:val="0"/>
          <w:bCs w:val="0"/>
          <w:sz w:val="20"/>
          <w:szCs w:val="20"/>
          <w:shd w:val="clear" w:color="auto" w:fill="FFFFFF"/>
        </w:rPr>
        <w:t>Ukraine XXI: neo-industrial state or "project failure": monograph</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Institute of Industrial Economics; Poltava University of Economics and</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rPr>
        <w:t>Kyiv, 201</w:t>
      </w:r>
      <w:r w:rsidR="000B65AB">
        <w:rPr>
          <w:rStyle w:val="a3"/>
          <w:rFonts w:cs="Times New Roman"/>
          <w:b w:val="0"/>
          <w:bCs w:val="0"/>
          <w:sz w:val="20"/>
          <w:szCs w:val="20"/>
          <w:shd w:val="clear" w:color="auto" w:fill="FFFFFF"/>
        </w:rPr>
        <w:t>9</w:t>
      </w:r>
      <w:r w:rsidR="000B65AB" w:rsidRPr="000B65AB">
        <w:rPr>
          <w:rStyle w:val="a3"/>
          <w:rFonts w:cs="Times New Roman"/>
          <w:b w:val="0"/>
          <w:bCs w:val="0"/>
          <w:sz w:val="20"/>
          <w:szCs w:val="20"/>
          <w:shd w:val="clear" w:color="auto" w:fill="FFFFFF"/>
        </w:rPr>
        <w:t>. 196 p.</w:t>
      </w:r>
    </w:p>
    <w:p w14:paraId="4A9D0548" w14:textId="7108D013" w:rsidR="00793C07" w:rsidRPr="00EE2B99" w:rsidRDefault="00793C07" w:rsidP="003B08F3">
      <w:pPr>
        <w:spacing w:after="0"/>
        <w:ind w:firstLine="425"/>
        <w:jc w:val="both"/>
        <w:rPr>
          <w:rStyle w:val="a3"/>
          <w:rFonts w:cs="Times New Roman"/>
          <w:b w:val="0"/>
          <w:bCs w:val="0"/>
          <w:sz w:val="20"/>
          <w:szCs w:val="20"/>
          <w:shd w:val="clear" w:color="auto" w:fill="FFFFFF"/>
          <w:lang w:val="en-US"/>
        </w:rPr>
      </w:pPr>
      <w:r w:rsidRPr="00EE2B99">
        <w:rPr>
          <w:rStyle w:val="a3"/>
          <w:rFonts w:cs="Times New Roman"/>
          <w:b w:val="0"/>
          <w:bCs w:val="0"/>
          <w:sz w:val="20"/>
          <w:szCs w:val="20"/>
          <w:shd w:val="clear" w:color="auto" w:fill="FFFFFF"/>
          <w:lang w:val="en-US"/>
        </w:rPr>
        <w:t>6. The World Bank Group (2021)</w:t>
      </w:r>
      <w:r w:rsidR="00DB4EA6">
        <w:rPr>
          <w:rStyle w:val="a3"/>
          <w:rFonts w:cs="Times New Roman"/>
          <w:b w:val="0"/>
          <w:bCs w:val="0"/>
          <w:sz w:val="20"/>
          <w:szCs w:val="20"/>
          <w:shd w:val="clear" w:color="auto" w:fill="FFFFFF"/>
        </w:rPr>
        <w:t>.</w:t>
      </w:r>
      <w:r w:rsidRPr="00EE2B99">
        <w:rPr>
          <w:rStyle w:val="a3"/>
          <w:rFonts w:cs="Times New Roman"/>
          <w:b w:val="0"/>
          <w:bCs w:val="0"/>
          <w:sz w:val="20"/>
          <w:szCs w:val="20"/>
          <w:shd w:val="clear" w:color="auto" w:fill="FFFFFF"/>
          <w:lang w:val="en-US"/>
        </w:rPr>
        <w:t xml:space="preserve"> </w:t>
      </w:r>
      <w:r w:rsidR="000B65AB" w:rsidRPr="00EE2B99">
        <w:rPr>
          <w:rStyle w:val="a3"/>
          <w:rFonts w:cs="Times New Roman"/>
          <w:b w:val="0"/>
          <w:bCs w:val="0"/>
          <w:sz w:val="20"/>
          <w:szCs w:val="20"/>
          <w:shd w:val="clear" w:color="auto" w:fill="FFFFFF"/>
          <w:lang w:val="en-US"/>
        </w:rPr>
        <w:t>URL:</w:t>
      </w:r>
      <w:r w:rsidRPr="00EE2B99">
        <w:rPr>
          <w:rStyle w:val="a3"/>
          <w:rFonts w:cs="Times New Roman"/>
          <w:b w:val="0"/>
          <w:bCs w:val="0"/>
          <w:sz w:val="20"/>
          <w:szCs w:val="20"/>
          <w:shd w:val="clear" w:color="auto" w:fill="FFFFFF"/>
          <w:lang w:val="en-US"/>
        </w:rPr>
        <w:t xml:space="preserve"> https://data.worldbank.org/products/wdi, </w:t>
      </w:r>
    </w:p>
    <w:p w14:paraId="2ADEE491" w14:textId="52310E75" w:rsidR="003B08F3" w:rsidRPr="00EE2B99" w:rsidRDefault="00793C07" w:rsidP="000B65AB">
      <w:pPr>
        <w:spacing w:after="0"/>
        <w:ind w:firstLine="425"/>
        <w:jc w:val="both"/>
        <w:rPr>
          <w:rStyle w:val="a3"/>
          <w:b w:val="0"/>
          <w:bCs w:val="0"/>
          <w:shd w:val="clear" w:color="auto" w:fill="FFFFFF"/>
          <w:lang w:val="en-US"/>
        </w:rPr>
      </w:pPr>
      <w:r w:rsidRPr="00EE2B99">
        <w:rPr>
          <w:rStyle w:val="a3"/>
          <w:rFonts w:cs="Times New Roman"/>
          <w:b w:val="0"/>
          <w:bCs w:val="0"/>
          <w:sz w:val="20"/>
          <w:szCs w:val="20"/>
          <w:shd w:val="clear" w:color="auto" w:fill="FFFFFF"/>
          <w:lang w:val="en-US"/>
        </w:rPr>
        <w:t xml:space="preserve">7. </w:t>
      </w:r>
      <w:r w:rsidR="000B65AB" w:rsidRPr="000B65AB">
        <w:rPr>
          <w:rStyle w:val="a3"/>
          <w:rFonts w:cs="Times New Roman"/>
          <w:b w:val="0"/>
          <w:bCs w:val="0"/>
          <w:sz w:val="20"/>
          <w:szCs w:val="20"/>
          <w:shd w:val="clear" w:color="auto" w:fill="FFFFFF"/>
          <w:lang w:val="en-US"/>
        </w:rPr>
        <w:t>Skavronska I.V.</w:t>
      </w:r>
      <w:r w:rsidR="000B65AB">
        <w:rPr>
          <w:rStyle w:val="a3"/>
          <w:rFonts w:cs="Times New Roman"/>
          <w:b w:val="0"/>
          <w:bCs w:val="0"/>
          <w:sz w:val="20"/>
          <w:szCs w:val="20"/>
          <w:shd w:val="clear" w:color="auto" w:fill="FFFFFF"/>
        </w:rPr>
        <w:t xml:space="preserve"> (2022).</w:t>
      </w:r>
      <w:r w:rsidR="000B65AB" w:rsidRPr="000B65AB">
        <w:rPr>
          <w:rStyle w:val="a3"/>
          <w:rFonts w:cs="Times New Roman"/>
          <w:b w:val="0"/>
          <w:bCs w:val="0"/>
          <w:sz w:val="20"/>
          <w:szCs w:val="20"/>
          <w:shd w:val="clear" w:color="auto" w:fill="FFFFFF"/>
          <w:lang w:val="en-US"/>
        </w:rPr>
        <w:t xml:space="preserve"> Place and role of TNCs in the development of national economies</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lang w:val="en-US"/>
        </w:rPr>
        <w:t>Young scientist</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lang w:val="en-US"/>
        </w:rPr>
        <w:t>4(31)</w:t>
      </w:r>
      <w:r w:rsidR="000B65AB">
        <w:rPr>
          <w:rStyle w:val="a3"/>
          <w:rFonts w:cs="Times New Roman"/>
          <w:b w:val="0"/>
          <w:bCs w:val="0"/>
          <w:sz w:val="20"/>
          <w:szCs w:val="20"/>
          <w:shd w:val="clear" w:color="auto" w:fill="FFFFFF"/>
        </w:rPr>
        <w:t xml:space="preserve">, </w:t>
      </w:r>
      <w:r w:rsidR="000B65AB" w:rsidRPr="000B65AB">
        <w:rPr>
          <w:rStyle w:val="a3"/>
          <w:rFonts w:cs="Times New Roman"/>
          <w:b w:val="0"/>
          <w:bCs w:val="0"/>
          <w:sz w:val="20"/>
          <w:szCs w:val="20"/>
          <w:shd w:val="clear" w:color="auto" w:fill="FFFFFF"/>
          <w:lang w:val="en-US"/>
        </w:rPr>
        <w:t>197-200.</w:t>
      </w:r>
    </w:p>
    <w:p w14:paraId="644A27D3" w14:textId="77777777" w:rsidR="003B08F3" w:rsidRPr="00EE2B99" w:rsidRDefault="003B08F3" w:rsidP="009320E9">
      <w:pPr>
        <w:spacing w:after="0"/>
        <w:ind w:firstLine="425"/>
        <w:jc w:val="both"/>
        <w:rPr>
          <w:rFonts w:cs="Times New Roman"/>
          <w:b/>
          <w:bCs/>
          <w:sz w:val="20"/>
          <w:szCs w:val="20"/>
          <w:lang w:val="en-US"/>
        </w:rPr>
      </w:pPr>
    </w:p>
    <w:sectPr w:rsidR="003B08F3" w:rsidRPr="00EE2B99" w:rsidSect="00AE39EE">
      <w:pgSz w:w="11906" w:h="16838" w:code="9"/>
      <w:pgMar w:top="1134" w:right="851"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E2D99"/>
    <w:multiLevelType w:val="multilevel"/>
    <w:tmpl w:val="0C42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6E1053"/>
    <w:multiLevelType w:val="multilevel"/>
    <w:tmpl w:val="D0E8E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1A49CC"/>
    <w:multiLevelType w:val="multilevel"/>
    <w:tmpl w:val="D814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9B19CC"/>
    <w:multiLevelType w:val="multilevel"/>
    <w:tmpl w:val="A448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007347"/>
    <w:multiLevelType w:val="multilevel"/>
    <w:tmpl w:val="94421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F05AF5"/>
    <w:multiLevelType w:val="multilevel"/>
    <w:tmpl w:val="6DB2C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F39EF"/>
    <w:multiLevelType w:val="multilevel"/>
    <w:tmpl w:val="AFE67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657D8D"/>
    <w:multiLevelType w:val="multilevel"/>
    <w:tmpl w:val="DF72C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165943"/>
    <w:multiLevelType w:val="multilevel"/>
    <w:tmpl w:val="46744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8C18A1"/>
    <w:multiLevelType w:val="multilevel"/>
    <w:tmpl w:val="09CC4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35561E"/>
    <w:multiLevelType w:val="multilevel"/>
    <w:tmpl w:val="E97E1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4D6921"/>
    <w:multiLevelType w:val="multilevel"/>
    <w:tmpl w:val="EA124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D52188"/>
    <w:multiLevelType w:val="multilevel"/>
    <w:tmpl w:val="14EC0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EF16B5"/>
    <w:multiLevelType w:val="multilevel"/>
    <w:tmpl w:val="8D20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5E5396"/>
    <w:multiLevelType w:val="multilevel"/>
    <w:tmpl w:val="F312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741F23"/>
    <w:multiLevelType w:val="multilevel"/>
    <w:tmpl w:val="743C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7B294A"/>
    <w:multiLevelType w:val="multilevel"/>
    <w:tmpl w:val="5CD6D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900378"/>
    <w:multiLevelType w:val="multilevel"/>
    <w:tmpl w:val="9DA44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30635A"/>
    <w:multiLevelType w:val="multilevel"/>
    <w:tmpl w:val="7BC47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A722B34"/>
    <w:multiLevelType w:val="multilevel"/>
    <w:tmpl w:val="6C3A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513016"/>
    <w:multiLevelType w:val="multilevel"/>
    <w:tmpl w:val="ED208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522DEB"/>
    <w:multiLevelType w:val="multilevel"/>
    <w:tmpl w:val="7384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7D57C0"/>
    <w:multiLevelType w:val="multilevel"/>
    <w:tmpl w:val="4B103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EE24D93"/>
    <w:multiLevelType w:val="multilevel"/>
    <w:tmpl w:val="ABA8C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F2052E"/>
    <w:multiLevelType w:val="multilevel"/>
    <w:tmpl w:val="B5FC1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5B3B0A"/>
    <w:multiLevelType w:val="multilevel"/>
    <w:tmpl w:val="72021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964F27"/>
    <w:multiLevelType w:val="multilevel"/>
    <w:tmpl w:val="8736A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D45556"/>
    <w:multiLevelType w:val="multilevel"/>
    <w:tmpl w:val="F6A48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0B61C4"/>
    <w:multiLevelType w:val="multilevel"/>
    <w:tmpl w:val="F41A3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2E2CCF"/>
    <w:multiLevelType w:val="multilevel"/>
    <w:tmpl w:val="69EE7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2101FB"/>
    <w:multiLevelType w:val="multilevel"/>
    <w:tmpl w:val="5CE2B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7E766F"/>
    <w:multiLevelType w:val="multilevel"/>
    <w:tmpl w:val="831C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73164C4"/>
    <w:multiLevelType w:val="multilevel"/>
    <w:tmpl w:val="2144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CA3C28"/>
    <w:multiLevelType w:val="multilevel"/>
    <w:tmpl w:val="2D543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142D58"/>
    <w:multiLevelType w:val="multilevel"/>
    <w:tmpl w:val="AFE20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93201656">
    <w:abstractNumId w:val="1"/>
  </w:num>
  <w:num w:numId="2" w16cid:durableId="623192698">
    <w:abstractNumId w:val="25"/>
  </w:num>
  <w:num w:numId="3" w16cid:durableId="1937592654">
    <w:abstractNumId w:val="8"/>
  </w:num>
  <w:num w:numId="4" w16cid:durableId="771097337">
    <w:abstractNumId w:val="29"/>
  </w:num>
  <w:num w:numId="5" w16cid:durableId="1614748718">
    <w:abstractNumId w:val="0"/>
  </w:num>
  <w:num w:numId="6" w16cid:durableId="1528450895">
    <w:abstractNumId w:val="17"/>
  </w:num>
  <w:num w:numId="7" w16cid:durableId="1506481669">
    <w:abstractNumId w:val="14"/>
  </w:num>
  <w:num w:numId="8" w16cid:durableId="1808207602">
    <w:abstractNumId w:val="19"/>
  </w:num>
  <w:num w:numId="9" w16cid:durableId="405032540">
    <w:abstractNumId w:val="5"/>
  </w:num>
  <w:num w:numId="10" w16cid:durableId="1749228218">
    <w:abstractNumId w:val="23"/>
  </w:num>
  <w:num w:numId="11" w16cid:durableId="1892184453">
    <w:abstractNumId w:val="34"/>
  </w:num>
  <w:num w:numId="12" w16cid:durableId="1256205080">
    <w:abstractNumId w:val="21"/>
  </w:num>
  <w:num w:numId="13" w16cid:durableId="1433237077">
    <w:abstractNumId w:val="33"/>
  </w:num>
  <w:num w:numId="14" w16cid:durableId="927157668">
    <w:abstractNumId w:val="30"/>
  </w:num>
  <w:num w:numId="15" w16cid:durableId="443234184">
    <w:abstractNumId w:val="18"/>
  </w:num>
  <w:num w:numId="16" w16cid:durableId="873929527">
    <w:abstractNumId w:val="31"/>
  </w:num>
  <w:num w:numId="17" w16cid:durableId="1115759379">
    <w:abstractNumId w:val="7"/>
  </w:num>
  <w:num w:numId="18" w16cid:durableId="561214382">
    <w:abstractNumId w:val="22"/>
  </w:num>
  <w:num w:numId="19" w16cid:durableId="1572614491">
    <w:abstractNumId w:val="6"/>
  </w:num>
  <w:num w:numId="20" w16cid:durableId="1930192720">
    <w:abstractNumId w:val="3"/>
  </w:num>
  <w:num w:numId="21" w16cid:durableId="1163664886">
    <w:abstractNumId w:val="11"/>
  </w:num>
  <w:num w:numId="22" w16cid:durableId="1816990246">
    <w:abstractNumId w:val="26"/>
  </w:num>
  <w:num w:numId="23" w16cid:durableId="1913007396">
    <w:abstractNumId w:val="27"/>
  </w:num>
  <w:num w:numId="24" w16cid:durableId="237398515">
    <w:abstractNumId w:val="28"/>
  </w:num>
  <w:num w:numId="25" w16cid:durableId="1917589615">
    <w:abstractNumId w:val="24"/>
  </w:num>
  <w:num w:numId="26" w16cid:durableId="2082828988">
    <w:abstractNumId w:val="4"/>
  </w:num>
  <w:num w:numId="27" w16cid:durableId="333456981">
    <w:abstractNumId w:val="9"/>
  </w:num>
  <w:num w:numId="28" w16cid:durableId="135298692">
    <w:abstractNumId w:val="12"/>
  </w:num>
  <w:num w:numId="29" w16cid:durableId="1538740417">
    <w:abstractNumId w:val="10"/>
  </w:num>
  <w:num w:numId="30" w16cid:durableId="1456363607">
    <w:abstractNumId w:val="13"/>
  </w:num>
  <w:num w:numId="31" w16cid:durableId="977998184">
    <w:abstractNumId w:val="20"/>
  </w:num>
  <w:num w:numId="32" w16cid:durableId="494298840">
    <w:abstractNumId w:val="32"/>
  </w:num>
  <w:num w:numId="33" w16cid:durableId="317468059">
    <w:abstractNumId w:val="15"/>
  </w:num>
  <w:num w:numId="34" w16cid:durableId="1868446377">
    <w:abstractNumId w:val="16"/>
  </w:num>
  <w:num w:numId="35" w16cid:durableId="2223757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99C"/>
    <w:rsid w:val="00034BDA"/>
    <w:rsid w:val="000B65AB"/>
    <w:rsid w:val="00115379"/>
    <w:rsid w:val="001660FD"/>
    <w:rsid w:val="001D5151"/>
    <w:rsid w:val="0026399C"/>
    <w:rsid w:val="0027596A"/>
    <w:rsid w:val="002837D0"/>
    <w:rsid w:val="00315BC3"/>
    <w:rsid w:val="003B08F3"/>
    <w:rsid w:val="00490789"/>
    <w:rsid w:val="00562700"/>
    <w:rsid w:val="005644AD"/>
    <w:rsid w:val="00583477"/>
    <w:rsid w:val="005C3FCF"/>
    <w:rsid w:val="005C7262"/>
    <w:rsid w:val="006C0B77"/>
    <w:rsid w:val="0072256B"/>
    <w:rsid w:val="007637C8"/>
    <w:rsid w:val="00793C07"/>
    <w:rsid w:val="007A119B"/>
    <w:rsid w:val="008242FF"/>
    <w:rsid w:val="008537F1"/>
    <w:rsid w:val="00870751"/>
    <w:rsid w:val="00916B6B"/>
    <w:rsid w:val="00922C48"/>
    <w:rsid w:val="009320E9"/>
    <w:rsid w:val="009F5BA9"/>
    <w:rsid w:val="009F7158"/>
    <w:rsid w:val="00A172A5"/>
    <w:rsid w:val="00A330FB"/>
    <w:rsid w:val="00A71D51"/>
    <w:rsid w:val="00A73FE8"/>
    <w:rsid w:val="00AE39EE"/>
    <w:rsid w:val="00B66008"/>
    <w:rsid w:val="00B915B7"/>
    <w:rsid w:val="00C1782A"/>
    <w:rsid w:val="00C602C8"/>
    <w:rsid w:val="00C62006"/>
    <w:rsid w:val="00D22C64"/>
    <w:rsid w:val="00D93FF4"/>
    <w:rsid w:val="00DA130F"/>
    <w:rsid w:val="00DB4EA6"/>
    <w:rsid w:val="00DC1A3A"/>
    <w:rsid w:val="00DF75A4"/>
    <w:rsid w:val="00E83072"/>
    <w:rsid w:val="00E9413E"/>
    <w:rsid w:val="00EA02F9"/>
    <w:rsid w:val="00EA59DF"/>
    <w:rsid w:val="00EE2B99"/>
    <w:rsid w:val="00EE4070"/>
    <w:rsid w:val="00F12C76"/>
    <w:rsid w:val="00F935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66142"/>
  <w15:chartTrackingRefBased/>
  <w15:docId w15:val="{C83EEC0B-9925-437D-B822-06632FD1E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2">
    <w:name w:val="heading 2"/>
    <w:basedOn w:val="a"/>
    <w:link w:val="20"/>
    <w:uiPriority w:val="9"/>
    <w:qFormat/>
    <w:rsid w:val="00A71D51"/>
    <w:pPr>
      <w:spacing w:before="100" w:beforeAutospacing="1" w:after="100" w:afterAutospacing="1"/>
      <w:outlineLvl w:val="1"/>
    </w:pPr>
    <w:rPr>
      <w:rFonts w:eastAsia="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0E9"/>
    <w:rPr>
      <w:b/>
      <w:bCs/>
    </w:rPr>
  </w:style>
  <w:style w:type="paragraph" w:styleId="a4">
    <w:name w:val="Normal (Web)"/>
    <w:basedOn w:val="a"/>
    <w:uiPriority w:val="99"/>
    <w:semiHidden/>
    <w:unhideWhenUsed/>
    <w:rsid w:val="00A172A5"/>
    <w:pPr>
      <w:spacing w:before="100" w:beforeAutospacing="1" w:after="100" w:afterAutospacing="1"/>
    </w:pPr>
    <w:rPr>
      <w:rFonts w:eastAsia="Times New Roman" w:cs="Times New Roman"/>
      <w:sz w:val="24"/>
      <w:szCs w:val="24"/>
      <w:lang w:eastAsia="uk-UA"/>
    </w:rPr>
  </w:style>
  <w:style w:type="paragraph" w:styleId="a5">
    <w:name w:val="Title"/>
    <w:aliases w:val="УДК"/>
    <w:basedOn w:val="a"/>
    <w:next w:val="a"/>
    <w:link w:val="a6"/>
    <w:qFormat/>
    <w:rsid w:val="00A172A5"/>
    <w:pPr>
      <w:spacing w:after="0"/>
      <w:contextualSpacing/>
      <w:jc w:val="both"/>
    </w:pPr>
    <w:rPr>
      <w:rFonts w:ascii="Arial" w:eastAsia="Times New Roman" w:hAnsi="Arial" w:cs="Times New Roman"/>
      <w:caps/>
      <w:sz w:val="20"/>
      <w:szCs w:val="52"/>
      <w:lang w:val="x-none" w:eastAsia="x-none"/>
    </w:rPr>
  </w:style>
  <w:style w:type="character" w:customStyle="1" w:styleId="a6">
    <w:name w:val="Назва Знак"/>
    <w:aliases w:val="УДК Знак"/>
    <w:basedOn w:val="a0"/>
    <w:link w:val="a5"/>
    <w:rsid w:val="00A172A5"/>
    <w:rPr>
      <w:rFonts w:ascii="Arial" w:eastAsia="Times New Roman" w:hAnsi="Arial" w:cs="Times New Roman"/>
      <w:caps/>
      <w:kern w:val="0"/>
      <w:sz w:val="20"/>
      <w:szCs w:val="52"/>
      <w:lang w:val="x-none" w:eastAsia="x-none"/>
      <w14:ligatures w14:val="none"/>
    </w:rPr>
  </w:style>
  <w:style w:type="paragraph" w:styleId="a7">
    <w:name w:val="List Paragraph"/>
    <w:basedOn w:val="a"/>
    <w:uiPriority w:val="34"/>
    <w:qFormat/>
    <w:rsid w:val="00315BC3"/>
    <w:pPr>
      <w:ind w:left="720"/>
      <w:contextualSpacing/>
    </w:pPr>
  </w:style>
  <w:style w:type="character" w:styleId="a8">
    <w:name w:val="Hyperlink"/>
    <w:basedOn w:val="a0"/>
    <w:uiPriority w:val="99"/>
    <w:unhideWhenUsed/>
    <w:rsid w:val="00793C07"/>
    <w:rPr>
      <w:color w:val="0563C1" w:themeColor="hyperlink"/>
      <w:u w:val="single"/>
    </w:rPr>
  </w:style>
  <w:style w:type="character" w:styleId="a9">
    <w:name w:val="Unresolved Mention"/>
    <w:basedOn w:val="a0"/>
    <w:uiPriority w:val="99"/>
    <w:semiHidden/>
    <w:unhideWhenUsed/>
    <w:rsid w:val="00793C07"/>
    <w:rPr>
      <w:color w:val="605E5C"/>
      <w:shd w:val="clear" w:color="auto" w:fill="E1DFDD"/>
    </w:rPr>
  </w:style>
  <w:style w:type="character" w:customStyle="1" w:styleId="20">
    <w:name w:val="Заголовок 2 Знак"/>
    <w:basedOn w:val="a0"/>
    <w:link w:val="2"/>
    <w:uiPriority w:val="9"/>
    <w:rsid w:val="00A71D51"/>
    <w:rPr>
      <w:rFonts w:ascii="Times New Roman" w:eastAsia="Times New Roman" w:hAnsi="Times New Roman" w:cs="Times New Roman"/>
      <w:b/>
      <w:bCs/>
      <w:kern w:val="0"/>
      <w:sz w:val="36"/>
      <w:szCs w:val="36"/>
      <w:lang w:eastAsia="uk-UA"/>
      <w14:ligatures w14:val="none"/>
    </w:rPr>
  </w:style>
  <w:style w:type="paragraph" w:styleId="HTML">
    <w:name w:val="HTML Preformatted"/>
    <w:basedOn w:val="a"/>
    <w:link w:val="HTML0"/>
    <w:uiPriority w:val="99"/>
    <w:semiHidden/>
    <w:unhideWhenUsed/>
    <w:rsid w:val="00034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034BDA"/>
    <w:rPr>
      <w:rFonts w:ascii="Courier New" w:eastAsia="Times New Roman" w:hAnsi="Courier New" w:cs="Courier New"/>
      <w:kern w:val="0"/>
      <w:sz w:val="20"/>
      <w:szCs w:val="20"/>
      <w:lang w:eastAsia="uk-UA"/>
      <w14:ligatures w14:val="none"/>
    </w:rPr>
  </w:style>
  <w:style w:type="character" w:customStyle="1" w:styleId="y2iqfc">
    <w:name w:val="y2iqfc"/>
    <w:basedOn w:val="a0"/>
    <w:rsid w:val="00034B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823526">
      <w:bodyDiv w:val="1"/>
      <w:marLeft w:val="0"/>
      <w:marRight w:val="0"/>
      <w:marTop w:val="0"/>
      <w:marBottom w:val="0"/>
      <w:divBdr>
        <w:top w:val="none" w:sz="0" w:space="0" w:color="auto"/>
        <w:left w:val="none" w:sz="0" w:space="0" w:color="auto"/>
        <w:bottom w:val="none" w:sz="0" w:space="0" w:color="auto"/>
        <w:right w:val="none" w:sz="0" w:space="0" w:color="auto"/>
      </w:divBdr>
    </w:div>
    <w:div w:id="55982038">
      <w:bodyDiv w:val="1"/>
      <w:marLeft w:val="0"/>
      <w:marRight w:val="0"/>
      <w:marTop w:val="0"/>
      <w:marBottom w:val="0"/>
      <w:divBdr>
        <w:top w:val="none" w:sz="0" w:space="0" w:color="auto"/>
        <w:left w:val="none" w:sz="0" w:space="0" w:color="auto"/>
        <w:bottom w:val="none" w:sz="0" w:space="0" w:color="auto"/>
        <w:right w:val="none" w:sz="0" w:space="0" w:color="auto"/>
      </w:divBdr>
    </w:div>
    <w:div w:id="63377649">
      <w:bodyDiv w:val="1"/>
      <w:marLeft w:val="0"/>
      <w:marRight w:val="0"/>
      <w:marTop w:val="0"/>
      <w:marBottom w:val="0"/>
      <w:divBdr>
        <w:top w:val="none" w:sz="0" w:space="0" w:color="auto"/>
        <w:left w:val="none" w:sz="0" w:space="0" w:color="auto"/>
        <w:bottom w:val="none" w:sz="0" w:space="0" w:color="auto"/>
        <w:right w:val="none" w:sz="0" w:space="0" w:color="auto"/>
      </w:divBdr>
    </w:div>
    <w:div w:id="64843950">
      <w:bodyDiv w:val="1"/>
      <w:marLeft w:val="0"/>
      <w:marRight w:val="0"/>
      <w:marTop w:val="0"/>
      <w:marBottom w:val="0"/>
      <w:divBdr>
        <w:top w:val="none" w:sz="0" w:space="0" w:color="auto"/>
        <w:left w:val="none" w:sz="0" w:space="0" w:color="auto"/>
        <w:bottom w:val="none" w:sz="0" w:space="0" w:color="auto"/>
        <w:right w:val="none" w:sz="0" w:space="0" w:color="auto"/>
      </w:divBdr>
    </w:div>
    <w:div w:id="288782359">
      <w:bodyDiv w:val="1"/>
      <w:marLeft w:val="0"/>
      <w:marRight w:val="0"/>
      <w:marTop w:val="0"/>
      <w:marBottom w:val="0"/>
      <w:divBdr>
        <w:top w:val="none" w:sz="0" w:space="0" w:color="auto"/>
        <w:left w:val="none" w:sz="0" w:space="0" w:color="auto"/>
        <w:bottom w:val="none" w:sz="0" w:space="0" w:color="auto"/>
        <w:right w:val="none" w:sz="0" w:space="0" w:color="auto"/>
      </w:divBdr>
    </w:div>
    <w:div w:id="421799583">
      <w:bodyDiv w:val="1"/>
      <w:marLeft w:val="0"/>
      <w:marRight w:val="0"/>
      <w:marTop w:val="0"/>
      <w:marBottom w:val="0"/>
      <w:divBdr>
        <w:top w:val="none" w:sz="0" w:space="0" w:color="auto"/>
        <w:left w:val="none" w:sz="0" w:space="0" w:color="auto"/>
        <w:bottom w:val="none" w:sz="0" w:space="0" w:color="auto"/>
        <w:right w:val="none" w:sz="0" w:space="0" w:color="auto"/>
      </w:divBdr>
    </w:div>
    <w:div w:id="438574052">
      <w:bodyDiv w:val="1"/>
      <w:marLeft w:val="0"/>
      <w:marRight w:val="0"/>
      <w:marTop w:val="0"/>
      <w:marBottom w:val="0"/>
      <w:divBdr>
        <w:top w:val="none" w:sz="0" w:space="0" w:color="auto"/>
        <w:left w:val="none" w:sz="0" w:space="0" w:color="auto"/>
        <w:bottom w:val="none" w:sz="0" w:space="0" w:color="auto"/>
        <w:right w:val="none" w:sz="0" w:space="0" w:color="auto"/>
      </w:divBdr>
    </w:div>
    <w:div w:id="499930387">
      <w:bodyDiv w:val="1"/>
      <w:marLeft w:val="0"/>
      <w:marRight w:val="0"/>
      <w:marTop w:val="0"/>
      <w:marBottom w:val="0"/>
      <w:divBdr>
        <w:top w:val="none" w:sz="0" w:space="0" w:color="auto"/>
        <w:left w:val="none" w:sz="0" w:space="0" w:color="auto"/>
        <w:bottom w:val="none" w:sz="0" w:space="0" w:color="auto"/>
        <w:right w:val="none" w:sz="0" w:space="0" w:color="auto"/>
      </w:divBdr>
    </w:div>
    <w:div w:id="659818209">
      <w:bodyDiv w:val="1"/>
      <w:marLeft w:val="0"/>
      <w:marRight w:val="0"/>
      <w:marTop w:val="0"/>
      <w:marBottom w:val="0"/>
      <w:divBdr>
        <w:top w:val="none" w:sz="0" w:space="0" w:color="auto"/>
        <w:left w:val="none" w:sz="0" w:space="0" w:color="auto"/>
        <w:bottom w:val="none" w:sz="0" w:space="0" w:color="auto"/>
        <w:right w:val="none" w:sz="0" w:space="0" w:color="auto"/>
      </w:divBdr>
    </w:div>
    <w:div w:id="723337954">
      <w:bodyDiv w:val="1"/>
      <w:marLeft w:val="0"/>
      <w:marRight w:val="0"/>
      <w:marTop w:val="0"/>
      <w:marBottom w:val="0"/>
      <w:divBdr>
        <w:top w:val="none" w:sz="0" w:space="0" w:color="auto"/>
        <w:left w:val="none" w:sz="0" w:space="0" w:color="auto"/>
        <w:bottom w:val="none" w:sz="0" w:space="0" w:color="auto"/>
        <w:right w:val="none" w:sz="0" w:space="0" w:color="auto"/>
      </w:divBdr>
    </w:div>
    <w:div w:id="780878576">
      <w:bodyDiv w:val="1"/>
      <w:marLeft w:val="0"/>
      <w:marRight w:val="0"/>
      <w:marTop w:val="0"/>
      <w:marBottom w:val="0"/>
      <w:divBdr>
        <w:top w:val="none" w:sz="0" w:space="0" w:color="auto"/>
        <w:left w:val="none" w:sz="0" w:space="0" w:color="auto"/>
        <w:bottom w:val="none" w:sz="0" w:space="0" w:color="auto"/>
        <w:right w:val="none" w:sz="0" w:space="0" w:color="auto"/>
      </w:divBdr>
    </w:div>
    <w:div w:id="1039623696">
      <w:bodyDiv w:val="1"/>
      <w:marLeft w:val="0"/>
      <w:marRight w:val="0"/>
      <w:marTop w:val="0"/>
      <w:marBottom w:val="0"/>
      <w:divBdr>
        <w:top w:val="none" w:sz="0" w:space="0" w:color="auto"/>
        <w:left w:val="none" w:sz="0" w:space="0" w:color="auto"/>
        <w:bottom w:val="none" w:sz="0" w:space="0" w:color="auto"/>
        <w:right w:val="none" w:sz="0" w:space="0" w:color="auto"/>
      </w:divBdr>
    </w:div>
    <w:div w:id="1612204299">
      <w:bodyDiv w:val="1"/>
      <w:marLeft w:val="0"/>
      <w:marRight w:val="0"/>
      <w:marTop w:val="0"/>
      <w:marBottom w:val="0"/>
      <w:divBdr>
        <w:top w:val="none" w:sz="0" w:space="0" w:color="auto"/>
        <w:left w:val="none" w:sz="0" w:space="0" w:color="auto"/>
        <w:bottom w:val="none" w:sz="0" w:space="0" w:color="auto"/>
        <w:right w:val="none" w:sz="0" w:space="0" w:color="auto"/>
      </w:divBdr>
    </w:div>
    <w:div w:id="1691948190">
      <w:bodyDiv w:val="1"/>
      <w:marLeft w:val="0"/>
      <w:marRight w:val="0"/>
      <w:marTop w:val="0"/>
      <w:marBottom w:val="0"/>
      <w:divBdr>
        <w:top w:val="none" w:sz="0" w:space="0" w:color="auto"/>
        <w:left w:val="none" w:sz="0" w:space="0" w:color="auto"/>
        <w:bottom w:val="none" w:sz="0" w:space="0" w:color="auto"/>
        <w:right w:val="none" w:sz="0" w:space="0" w:color="auto"/>
      </w:divBdr>
    </w:div>
    <w:div w:id="1721829322">
      <w:bodyDiv w:val="1"/>
      <w:marLeft w:val="0"/>
      <w:marRight w:val="0"/>
      <w:marTop w:val="0"/>
      <w:marBottom w:val="0"/>
      <w:divBdr>
        <w:top w:val="none" w:sz="0" w:space="0" w:color="auto"/>
        <w:left w:val="none" w:sz="0" w:space="0" w:color="auto"/>
        <w:bottom w:val="none" w:sz="0" w:space="0" w:color="auto"/>
        <w:right w:val="none" w:sz="0" w:space="0" w:color="auto"/>
      </w:divBdr>
    </w:div>
    <w:div w:id="193200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280</TotalTime>
  <Pages>3</Pages>
  <Words>10849</Words>
  <Characters>6184</Characters>
  <Application>Microsoft Office Word</Application>
  <DocSecurity>0</DocSecurity>
  <Lines>51</Lines>
  <Paragraphs>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17</cp:revision>
  <dcterms:created xsi:type="dcterms:W3CDTF">2024-03-22T10:17:00Z</dcterms:created>
  <dcterms:modified xsi:type="dcterms:W3CDTF">2024-03-23T16:23:00Z</dcterms:modified>
</cp:coreProperties>
</file>