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C00" w:rsidRPr="00DC56E6" w:rsidRDefault="00DC56E6" w:rsidP="004C054E">
      <w:pPr>
        <w:spacing w:after="0" w:line="240" w:lineRule="auto"/>
        <w:jc w:val="center"/>
        <w:rPr>
          <w:rFonts w:ascii="Times New Roman" w:hAnsi="Times New Roman" w:cs="Times New Roman"/>
          <w:b/>
          <w:sz w:val="36"/>
        </w:rPr>
      </w:pPr>
      <w:r w:rsidRPr="00DC56E6">
        <w:rPr>
          <w:rFonts w:ascii="Times New Roman" w:hAnsi="Times New Roman" w:cs="Times New Roman"/>
          <w:b/>
          <w:sz w:val="28"/>
        </w:rPr>
        <w:t>СУЧАСНІ ПІДХОДИ ДО ПІДВИЩЕННЯ НАДІЙНОСТІ ПІДШИПНИКІВ КОВЗАННЯ</w:t>
      </w:r>
    </w:p>
    <w:p w:rsidR="004C054E" w:rsidRDefault="004C054E" w:rsidP="004C054E">
      <w:pPr>
        <w:spacing w:after="0" w:line="240" w:lineRule="auto"/>
        <w:rPr>
          <w:rFonts w:ascii="Times New Roman" w:hAnsi="Times New Roman" w:cs="Times New Roman"/>
          <w:sz w:val="28"/>
        </w:rPr>
      </w:pPr>
    </w:p>
    <w:p w:rsidR="004C054E" w:rsidRPr="004C054E" w:rsidRDefault="004C054E" w:rsidP="004C054E">
      <w:pPr>
        <w:spacing w:after="0" w:line="240" w:lineRule="auto"/>
        <w:rPr>
          <w:rFonts w:ascii="Times New Roman" w:hAnsi="Times New Roman" w:cs="Times New Roman"/>
          <w:b/>
          <w:sz w:val="28"/>
        </w:rPr>
      </w:pPr>
      <w:proofErr w:type="spellStart"/>
      <w:r w:rsidRPr="004C054E">
        <w:rPr>
          <w:rFonts w:ascii="Times New Roman" w:hAnsi="Times New Roman" w:cs="Times New Roman"/>
          <w:b/>
          <w:sz w:val="28"/>
        </w:rPr>
        <w:t>Віштак</w:t>
      </w:r>
      <w:proofErr w:type="spellEnd"/>
      <w:r w:rsidRPr="004C054E">
        <w:rPr>
          <w:rFonts w:ascii="Times New Roman" w:hAnsi="Times New Roman" w:cs="Times New Roman"/>
          <w:b/>
          <w:sz w:val="28"/>
        </w:rPr>
        <w:t xml:space="preserve"> І.В., Сорока М. О.</w:t>
      </w:r>
    </w:p>
    <w:p w:rsidR="004C054E" w:rsidRDefault="004C054E" w:rsidP="004C054E">
      <w:pPr>
        <w:spacing w:after="0" w:line="240" w:lineRule="auto"/>
        <w:rPr>
          <w:rFonts w:ascii="Times New Roman" w:hAnsi="Times New Roman" w:cs="Times New Roman"/>
          <w:i/>
          <w:sz w:val="28"/>
        </w:rPr>
      </w:pPr>
      <w:r w:rsidRPr="004C054E">
        <w:rPr>
          <w:rFonts w:ascii="Times New Roman" w:hAnsi="Times New Roman" w:cs="Times New Roman"/>
          <w:i/>
          <w:sz w:val="28"/>
        </w:rPr>
        <w:t>(ВНТУ, м. Вінниця, Україна)</w:t>
      </w:r>
    </w:p>
    <w:p w:rsidR="004C054E" w:rsidRDefault="004C054E" w:rsidP="004C054E">
      <w:pPr>
        <w:spacing w:after="0" w:line="240" w:lineRule="auto"/>
        <w:rPr>
          <w:rFonts w:ascii="Times New Roman" w:hAnsi="Times New Roman" w:cs="Times New Roman"/>
          <w:sz w:val="28"/>
        </w:rPr>
      </w:pPr>
    </w:p>
    <w:p w:rsidR="004C054E" w:rsidRPr="00DC56E6" w:rsidRDefault="004054D9" w:rsidP="00DC56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6E6">
        <w:rPr>
          <w:rFonts w:ascii="Times New Roman" w:hAnsi="Times New Roman" w:cs="Times New Roman"/>
          <w:sz w:val="28"/>
          <w:szCs w:val="28"/>
        </w:rPr>
        <w:t>Підшипники ковзання є важливими вузлами тертя у сучасних машинах, що забезпечують стабільність і довговічність їхньої експлуатації. Вони суттєво впливають на точність функціонування виконавчих механізмів та ефективність роботи обладнання загалом. Розробка високоточних і надійних підшипників ковзання залишається актуальним завданням машинобудування, особливо в контексті підвищених вимог до продуктивності, ресурсу й енергоефективності технічних систем. Значна увага дослідників зосереджена на проблемах зносу, зниження коефіцієнта тертя, а також на впровадженні методів комп’ютерного моделювання для аналізу умов експлуатації та оптимізації конструктивних рішень. Сучасні підходи до розрахункової оцінки параметрів підшипників і розв’язання контактних задач відкривають нові можливості для підвищення їх надійності. Успішне вирішення зазначених питань є ключем до підвищення технічного рівня машин і механізмів, що працюють у складних експлуатаційних умовах.</w:t>
      </w:r>
    </w:p>
    <w:p w:rsidR="004054D9" w:rsidRPr="00DC56E6" w:rsidRDefault="004054D9" w:rsidP="00DC56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Метою роботи є аналіз сучасних методів </w:t>
      </w:r>
      <w:proofErr w:type="spellStart"/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проєктування</w:t>
      </w:r>
      <w:proofErr w:type="spellEnd"/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оцінювання підшипників ковзання, виявлення основних чинників, що впливають на їх зносостійкість і ефективність роботи, а також обґрунтування напрямів удосконалення конструкцій з урахуванням новітніх інженерних та цифрових підходів.</w:t>
      </w:r>
    </w:p>
    <w:p w:rsidR="004054D9" w:rsidRPr="00DC56E6" w:rsidRDefault="004054D9" w:rsidP="00DC56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Підшипники ковзання відіграють ключову роль у забезпеченні надійної та довговічної роботи сучасних машин, оскільки вони відповідають за точність виконавчих рухів робочих органів. Розробка та дослідження високоточних і надійних підшипників ковзання є важливою інженерною задачею, зокрема в контексті зменшення зносу та зниження коефіцієнта тертя.</w:t>
      </w:r>
    </w:p>
    <w:p w:rsidR="004054D9" w:rsidRPr="00DC56E6" w:rsidRDefault="004054D9" w:rsidP="00DC56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Вчені активно вивчають нові матеріали та покриття для підшипників, які можуть зменшити тертя та підвищити зносостійкість. Наприклад, використання композитних матеріалів та </w:t>
      </w:r>
      <w:proofErr w:type="spellStart"/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наноструктурованих</w:t>
      </w:r>
      <w:proofErr w:type="spellEnd"/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покриттів показало обнадійлив</w:t>
      </w:r>
      <w:r w:rsidR="00DC56E6"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і результати у зменшенні зносу.</w:t>
      </w:r>
    </w:p>
    <w:p w:rsidR="004054D9" w:rsidRPr="00DC56E6" w:rsidRDefault="004054D9" w:rsidP="00DC56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Застосування методів чисельного моделювання, таких як метод скінченних елементів, дозволяє точно прогнозувати поведінку підшипників під різними навантаженнями та умовами експлуатації. Це сприяє оптимізації ко</w:t>
      </w:r>
      <w:r w:rsidR="00662E61">
        <w:rPr>
          <w:rFonts w:ascii="Times New Roman" w:eastAsia="Times New Roman" w:hAnsi="Times New Roman" w:cs="Times New Roman"/>
          <w:sz w:val="28"/>
          <w:szCs w:val="28"/>
          <w:lang w:eastAsia="uk-UA"/>
        </w:rPr>
        <w:t>нструкції та вибору матеріалів</w:t>
      </w:r>
      <w:r w:rsidR="005E25A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E25A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[1]</w:t>
      </w:r>
      <w:r w:rsidR="00662E6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054D9" w:rsidRPr="00DC56E6" w:rsidRDefault="004054D9" w:rsidP="00DC56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Дослідження контактних напружень та деформацій у зоні контакту підшипника з валом є критично важливими для запобігання передчасному виходу з ладу. Розробка аналітичних та чисельних моделей допомагає виявити критичні зони та вдоско</w:t>
      </w:r>
      <w:r w:rsidR="00662E61">
        <w:rPr>
          <w:rFonts w:ascii="Times New Roman" w:eastAsia="Times New Roman" w:hAnsi="Times New Roman" w:cs="Times New Roman"/>
          <w:sz w:val="28"/>
          <w:szCs w:val="28"/>
          <w:lang w:eastAsia="uk-UA"/>
        </w:rPr>
        <w:t>налити конструкцію підшипників</w:t>
      </w:r>
      <w:r w:rsidR="005E25A3" w:rsidRPr="005E25A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[2]</w:t>
      </w:r>
      <w:r w:rsidR="00662E6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054D9" w:rsidRPr="00DC56E6" w:rsidRDefault="004054D9" w:rsidP="00DC56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Ці напрямки досліджень спрямовані на підвищення ефективності та довговічності підшипників ковзання, що, в свою чергу, покращує загальну продуктивність машин і механізмів</w:t>
      </w:r>
      <w:r w:rsidR="005E25A3" w:rsidRPr="005E25A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[1-</w:t>
      </w:r>
      <w:bookmarkStart w:id="0" w:name="_GoBack"/>
      <w:bookmarkEnd w:id="0"/>
      <w:r w:rsidR="005E25A3" w:rsidRPr="005E25A3">
        <w:rPr>
          <w:rFonts w:ascii="Times New Roman" w:eastAsia="Times New Roman" w:hAnsi="Times New Roman" w:cs="Times New Roman"/>
          <w:sz w:val="28"/>
          <w:szCs w:val="28"/>
          <w:lang w:eastAsia="uk-UA"/>
        </w:rPr>
        <w:t>3]</w:t>
      </w:r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054D9" w:rsidRPr="00DC56E6" w:rsidRDefault="004054D9" w:rsidP="00DC56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Новизна полягає в інтеграції чисельних методів (метод скінченних елементів) із сучасними підходами до вибору матеріалів і змащувальних технологій для підвищення точності прогнозування ресурсу підшипникового вузла. Крім того, досліджено вплив </w:t>
      </w:r>
      <w:proofErr w:type="spellStart"/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>наноструктурованих</w:t>
      </w:r>
      <w:proofErr w:type="spellEnd"/>
      <w:r w:rsidRPr="00DC56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покриттів на зниження контактних напружень у зонах тертя, що раніше не було систематизовано в контексті довготривалої експлуатації.</w:t>
      </w:r>
    </w:p>
    <w:p w:rsidR="00DC56E6" w:rsidRPr="00DC56E6" w:rsidRDefault="00DC56E6" w:rsidP="00DC56E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uk-UA"/>
        </w:rPr>
      </w:pPr>
      <w:r w:rsidRPr="00DC56E6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Підшипники ковзання є критичними елементами машин, що визначають точність, стабільність і довговічність їх функціонування. Основними факторами, що впливають на ефективність роботи підшипників, є знос, коефіцієнт тертя, матеріал конструктивних елементів і умови змащування. Комп’ютерне моделювання, зокрема метод скінченних елементів (FEM), дозволяє точно аналізувати робочі навантаження та прогнозувати поведінку вузла в експлуатації. Використання </w:t>
      </w:r>
      <w:proofErr w:type="spellStart"/>
      <w:r w:rsidRPr="00DC56E6">
        <w:rPr>
          <w:rFonts w:ascii="Times New Roman" w:eastAsia="Times New Roman" w:hAnsi="Times New Roman" w:cs="Times New Roman"/>
          <w:sz w:val="28"/>
          <w:szCs w:val="24"/>
          <w:lang w:eastAsia="uk-UA"/>
        </w:rPr>
        <w:t>наноструктурованих</w:t>
      </w:r>
      <w:proofErr w:type="spellEnd"/>
      <w:r w:rsidRPr="00DC56E6">
        <w:rPr>
          <w:rFonts w:ascii="Times New Roman" w:eastAsia="Times New Roman" w:hAnsi="Times New Roman" w:cs="Times New Roman"/>
          <w:sz w:val="28"/>
          <w:szCs w:val="24"/>
          <w:lang w:eastAsia="uk-UA"/>
        </w:rPr>
        <w:t xml:space="preserve"> покриттів та композитних матеріалів значно знижує тертя та знос, збільшуючи ресурс підшипників. Наукова новизна дослідження полягає в інтеграції цифрових методів аналізу з експериментальними підходами до вибору матеріалів і технологій змащування, що дозволяє обґрунтовано вдосконалювати конструкції підшипників ковзання.</w:t>
      </w:r>
    </w:p>
    <w:p w:rsidR="004054D9" w:rsidRDefault="00B84EDE" w:rsidP="00662E61">
      <w:pPr>
        <w:spacing w:before="120" w:after="120" w:line="240" w:lineRule="auto"/>
        <w:ind w:firstLine="709"/>
        <w:jc w:val="center"/>
        <w:outlineLvl w:val="2"/>
        <w:rPr>
          <w:rFonts w:ascii="Times New Roman" w:hAnsi="Times New Roman" w:cs="Times New Roman"/>
          <w:b/>
          <w:sz w:val="28"/>
        </w:rPr>
      </w:pPr>
      <w:r w:rsidRPr="00B84EDE">
        <w:rPr>
          <w:rFonts w:ascii="Times New Roman" w:hAnsi="Times New Roman" w:cs="Times New Roman"/>
          <w:b/>
          <w:sz w:val="28"/>
        </w:rPr>
        <w:t>Література:</w:t>
      </w:r>
    </w:p>
    <w:p w:rsidR="00662E61" w:rsidRPr="00662E61" w:rsidRDefault="00662E61" w:rsidP="00DF40EC">
      <w:pPr>
        <w:pStyle w:val="a5"/>
        <w:numPr>
          <w:ilvl w:val="0"/>
          <w:numId w:val="4"/>
        </w:numPr>
        <w:tabs>
          <w:tab w:val="clear" w:pos="720"/>
          <w:tab w:val="num" w:pos="360"/>
        </w:tabs>
        <w:spacing w:after="0" w:line="240" w:lineRule="auto"/>
        <w:ind w:left="0" w:firstLine="0"/>
        <w:jc w:val="both"/>
        <w:outlineLvl w:val="2"/>
        <w:rPr>
          <w:rFonts w:ascii="Times New Roman" w:hAnsi="Times New Roman" w:cs="Times New Roman"/>
          <w:sz w:val="36"/>
        </w:rPr>
      </w:pPr>
      <w:proofErr w:type="spellStart"/>
      <w:r w:rsidRPr="00662E61">
        <w:rPr>
          <w:rFonts w:ascii="Times New Roman" w:hAnsi="Times New Roman" w:cs="Times New Roman"/>
          <w:sz w:val="28"/>
          <w:szCs w:val="28"/>
        </w:rPr>
        <w:t>Chuchu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Ma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Tianyang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Li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Youyuan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Wang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Yao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Zhang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Qian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Cao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Xiaolong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Gong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Xian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Zeng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Xudong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Cheng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Kai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Liu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Tribological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behavior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mechanism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high-temperature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self-lubricating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wear-resistant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composite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coatings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3D-printed </w:t>
      </w:r>
      <w:proofErr w:type="spellStart"/>
      <w:r>
        <w:rPr>
          <w:rFonts w:ascii="Times New Roman" w:hAnsi="Times New Roman" w:cs="Times New Roman"/>
          <w:sz w:val="28"/>
          <w:szCs w:val="28"/>
        </w:rPr>
        <w:t>SiC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ceramic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surfaces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662E6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662E6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662E6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i/>
          <w:sz w:val="28"/>
          <w:szCs w:val="28"/>
        </w:rPr>
        <w:t>European</w:t>
      </w:r>
      <w:proofErr w:type="spellEnd"/>
      <w:r w:rsidRPr="00662E6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i/>
          <w:sz w:val="28"/>
          <w:szCs w:val="28"/>
        </w:rPr>
        <w:t>Ceramic</w:t>
      </w:r>
      <w:proofErr w:type="spellEnd"/>
      <w:r w:rsidRPr="00662E61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662E61">
        <w:rPr>
          <w:rFonts w:ascii="Times New Roman" w:hAnsi="Times New Roman" w:cs="Times New Roman"/>
          <w:i/>
          <w:sz w:val="28"/>
          <w:szCs w:val="28"/>
        </w:rPr>
        <w:t>Society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662E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2025.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62E61">
        <w:rPr>
          <w:rFonts w:ascii="Times New Roman" w:hAnsi="Times New Roman" w:cs="Times New Roman"/>
          <w:sz w:val="28"/>
          <w:szCs w:val="28"/>
        </w:rPr>
        <w:t xml:space="preserve">45, </w:t>
      </w:r>
      <w:proofErr w:type="spellStart"/>
      <w:r w:rsidRPr="00662E61">
        <w:rPr>
          <w:rFonts w:ascii="Times New Roman" w:hAnsi="Times New Roman" w:cs="Times New Roman"/>
          <w:sz w:val="28"/>
          <w:szCs w:val="28"/>
        </w:rPr>
        <w:t>Issue</w:t>
      </w:r>
      <w:proofErr w:type="spellEnd"/>
      <w:r w:rsidRPr="00662E61">
        <w:rPr>
          <w:rFonts w:ascii="Times New Roman" w:hAnsi="Times New Roman" w:cs="Times New Roman"/>
          <w:sz w:val="28"/>
          <w:szCs w:val="28"/>
        </w:rPr>
        <w:t xml:space="preserve"> 13</w:t>
      </w:r>
      <w:r w:rsidRPr="00662E61">
        <w:rPr>
          <w:rFonts w:ascii="Times New Roman" w:hAnsi="Times New Roman" w:cs="Times New Roman"/>
          <w:sz w:val="28"/>
          <w:szCs w:val="28"/>
        </w:rPr>
        <w:t>.</w:t>
      </w:r>
      <w:r w:rsidRPr="00662E61">
        <w:rPr>
          <w:rFonts w:ascii="Times New Roman" w:hAnsi="Times New Roman" w:cs="Times New Roman"/>
          <w:sz w:val="28"/>
        </w:rPr>
        <w:t xml:space="preserve"> </w:t>
      </w:r>
      <w:r w:rsidRPr="00662E61">
        <w:rPr>
          <w:rFonts w:ascii="Times New Roman" w:hAnsi="Times New Roman" w:cs="Times New Roman"/>
          <w:sz w:val="28"/>
        </w:rPr>
        <w:t>Р.</w:t>
      </w:r>
      <w:r>
        <w:rPr>
          <w:rFonts w:ascii="Times New Roman" w:hAnsi="Times New Roman" w:cs="Times New Roman"/>
          <w:sz w:val="28"/>
        </w:rPr>
        <w:t xml:space="preserve"> 117473.</w:t>
      </w:r>
      <w:r w:rsidRPr="00662E61">
        <w:rPr>
          <w:rFonts w:ascii="Times New Roman" w:hAnsi="Times New Roman" w:cs="Times New Roman"/>
          <w:sz w:val="28"/>
        </w:rPr>
        <w:t xml:space="preserve"> ISSN 0955-2219. </w:t>
      </w:r>
      <w:hyperlink r:id="rId5" w:history="1">
        <w:r w:rsidR="00DF40EC" w:rsidRPr="003470BA">
          <w:rPr>
            <w:rStyle w:val="a6"/>
            <w:rFonts w:ascii="Times New Roman" w:hAnsi="Times New Roman" w:cs="Times New Roman"/>
            <w:sz w:val="28"/>
          </w:rPr>
          <w:t>https://doi.org/10.1016/j.jeurceramsoc.2025.117473</w:t>
        </w:r>
      </w:hyperlink>
      <w:r w:rsidR="00DF40EC">
        <w:rPr>
          <w:rFonts w:ascii="Times New Roman" w:hAnsi="Times New Roman" w:cs="Times New Roman"/>
          <w:sz w:val="28"/>
        </w:rPr>
        <w:t xml:space="preserve"> </w:t>
      </w:r>
    </w:p>
    <w:p w:rsidR="00982198" w:rsidRPr="00982198" w:rsidRDefault="00982198" w:rsidP="00982198">
      <w:pPr>
        <w:numPr>
          <w:ilvl w:val="0"/>
          <w:numId w:val="4"/>
        </w:numPr>
        <w:tabs>
          <w:tab w:val="clear" w:pos="720"/>
          <w:tab w:val="num" w:pos="284"/>
        </w:tabs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982198">
        <w:rPr>
          <w:rFonts w:ascii="Times New Roman" w:hAnsi="Times New Roman" w:cs="Times New Roman"/>
          <w:sz w:val="28"/>
          <w:szCs w:val="28"/>
        </w:rPr>
        <w:t>Subramanian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Baskar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Sriram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, G. &amp;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Arumugam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, S.. (2016).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Tribological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Hydrodynamic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Bearing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Synthetic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sz w:val="28"/>
          <w:szCs w:val="28"/>
        </w:rPr>
        <w:t>Biolubricants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2198">
        <w:rPr>
          <w:rFonts w:ascii="Times New Roman" w:hAnsi="Times New Roman" w:cs="Times New Roman"/>
          <w:i/>
          <w:sz w:val="28"/>
          <w:szCs w:val="28"/>
        </w:rPr>
        <w:t>Tribology</w:t>
      </w:r>
      <w:proofErr w:type="spellEnd"/>
      <w:r w:rsidRPr="0098219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82198">
        <w:rPr>
          <w:rFonts w:ascii="Times New Roman" w:hAnsi="Times New Roman" w:cs="Times New Roman"/>
          <w:i/>
          <w:sz w:val="28"/>
          <w:szCs w:val="28"/>
        </w:rPr>
        <w:t>Transactions</w:t>
      </w:r>
      <w:proofErr w:type="spellEnd"/>
      <w:r w:rsidRPr="00982198">
        <w:rPr>
          <w:rFonts w:ascii="Times New Roman" w:hAnsi="Times New Roman" w:cs="Times New Roman"/>
          <w:sz w:val="28"/>
          <w:szCs w:val="28"/>
        </w:rPr>
        <w:t>.</w:t>
      </w:r>
      <w:r w:rsidRPr="00982198">
        <w:rPr>
          <w:rFonts w:ascii="Times New Roman" w:hAnsi="Times New Roman" w:cs="Times New Roman"/>
          <w:sz w:val="28"/>
          <w:szCs w:val="28"/>
        </w:rPr>
        <w:t xml:space="preserve"> 2016.</w:t>
      </w:r>
      <w:r w:rsidRPr="00982198">
        <w:rPr>
          <w:rFonts w:ascii="Times New Roman" w:hAnsi="Times New Roman" w:cs="Times New Roman"/>
          <w:sz w:val="28"/>
          <w:szCs w:val="28"/>
        </w:rPr>
        <w:t xml:space="preserve"> 60. 1-36. </w:t>
      </w:r>
      <w:hyperlink r:id="rId6" w:history="1">
        <w:r w:rsidRPr="003470BA">
          <w:rPr>
            <w:rStyle w:val="a6"/>
            <w:rFonts w:ascii="Times New Roman" w:eastAsia="Times New Roman" w:hAnsi="Times New Roman" w:cs="Times New Roman"/>
            <w:sz w:val="28"/>
            <w:szCs w:val="28"/>
            <w:lang w:eastAsia="uk-UA"/>
          </w:rPr>
          <w:t>https://doi.org/</w:t>
        </w:r>
        <w:r w:rsidRPr="003470BA">
          <w:rPr>
            <w:rStyle w:val="a6"/>
            <w:rFonts w:ascii="Times New Roman" w:hAnsi="Times New Roman" w:cs="Times New Roman"/>
            <w:sz w:val="28"/>
            <w:szCs w:val="28"/>
          </w:rPr>
          <w:t>10.1080/10402004.2016.1176285</w:t>
        </w:r>
      </w:hyperlink>
    </w:p>
    <w:p w:rsidR="00DC56E6" w:rsidRPr="00982198" w:rsidRDefault="00982198" w:rsidP="00982198">
      <w:pPr>
        <w:numPr>
          <w:ilvl w:val="0"/>
          <w:numId w:val="4"/>
        </w:numPr>
        <w:tabs>
          <w:tab w:val="clear" w:pos="720"/>
          <w:tab w:val="num" w:pos="284"/>
        </w:tabs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Du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F,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Li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D,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Sa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X,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Li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C,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Yu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Y,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Li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C,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Wang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J,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Wang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W.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Overview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Friction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and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Wear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Performance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Sliding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Bearings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 </w:t>
      </w:r>
      <w:proofErr w:type="spellStart"/>
      <w:r w:rsidRPr="00982198">
        <w:rPr>
          <w:rStyle w:val="a4"/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Coatings</w:t>
      </w:r>
      <w:proofErr w:type="spellEnd"/>
      <w:r w:rsidRPr="009821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2022; 12(9):1303. </w:t>
      </w:r>
      <w:hyperlink r:id="rId7" w:history="1">
        <w:r w:rsidR="00DF40EC" w:rsidRPr="003470BA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</w:rPr>
          <w:t>https://doi.org/10.3390/coatings12091303</w:t>
        </w:r>
      </w:hyperlink>
      <w:r w:rsidR="00DF40EC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</w:p>
    <w:sectPr w:rsidR="00DC56E6" w:rsidRPr="00982198" w:rsidSect="004C054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04215A"/>
    <w:multiLevelType w:val="multilevel"/>
    <w:tmpl w:val="56CC4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16A1775"/>
    <w:multiLevelType w:val="multilevel"/>
    <w:tmpl w:val="57860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42A0BFC"/>
    <w:multiLevelType w:val="multilevel"/>
    <w:tmpl w:val="4EC8CA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42712D"/>
    <w:multiLevelType w:val="multilevel"/>
    <w:tmpl w:val="289E8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E4C"/>
    <w:rsid w:val="004054D9"/>
    <w:rsid w:val="004C054E"/>
    <w:rsid w:val="005E25A3"/>
    <w:rsid w:val="00662E61"/>
    <w:rsid w:val="00721E4C"/>
    <w:rsid w:val="00950E9A"/>
    <w:rsid w:val="00982198"/>
    <w:rsid w:val="00B32C00"/>
    <w:rsid w:val="00B84EDE"/>
    <w:rsid w:val="00DC56E6"/>
    <w:rsid w:val="00DF4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8C415"/>
  <w15:chartTrackingRefBased/>
  <w15:docId w15:val="{F38B3DD2-37DD-4D02-BF6B-9F561A12C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054D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054D9"/>
    <w:rPr>
      <w:b/>
      <w:bCs/>
    </w:rPr>
  </w:style>
  <w:style w:type="character" w:customStyle="1" w:styleId="relative">
    <w:name w:val="relative"/>
    <w:basedOn w:val="a0"/>
    <w:rsid w:val="004054D9"/>
  </w:style>
  <w:style w:type="character" w:customStyle="1" w:styleId="30">
    <w:name w:val="Заголовок 3 Знак"/>
    <w:basedOn w:val="a0"/>
    <w:link w:val="3"/>
    <w:uiPriority w:val="9"/>
    <w:rsid w:val="004054D9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4">
    <w:name w:val="Emphasis"/>
    <w:basedOn w:val="a0"/>
    <w:uiPriority w:val="20"/>
    <w:qFormat/>
    <w:rsid w:val="00DC56E6"/>
    <w:rPr>
      <w:i/>
      <w:iCs/>
    </w:rPr>
  </w:style>
  <w:style w:type="paragraph" w:styleId="a5">
    <w:name w:val="List Paragraph"/>
    <w:basedOn w:val="a"/>
    <w:uiPriority w:val="34"/>
    <w:qFormat/>
    <w:rsid w:val="00662E61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821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3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7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i.org/10.3390/coatings1209130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080/10402004.2016.1176285" TargetMode="External"/><Relationship Id="rId5" Type="http://schemas.openxmlformats.org/officeDocument/2006/relationships/hyperlink" Target="https://doi.org/10.1016/j.jeurceramsoc.2025.11747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3096</Words>
  <Characters>1765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НР</dc:creator>
  <cp:keywords/>
  <dc:description/>
  <cp:lastModifiedBy>НР</cp:lastModifiedBy>
  <cp:revision>4</cp:revision>
  <dcterms:created xsi:type="dcterms:W3CDTF">2025-05-07T10:58:00Z</dcterms:created>
  <dcterms:modified xsi:type="dcterms:W3CDTF">2025-05-07T11:00:00Z</dcterms:modified>
</cp:coreProperties>
</file>