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2F5AD7" w14:textId="59DEFC0A" w:rsidR="001D0EF2" w:rsidRDefault="00DB7709" w:rsidP="00AD0220">
      <w:pPr>
        <w:spacing w:after="0" w:line="360" w:lineRule="auto"/>
        <w:rPr>
          <w:rFonts w:ascii="Times New Roman" w:hAnsi="Times New Roman" w:cs="Times New Roman"/>
          <w:bCs/>
          <w:sz w:val="24"/>
          <w:szCs w:val="24"/>
        </w:rPr>
      </w:pPr>
      <w:r w:rsidRPr="00006F9E">
        <w:rPr>
          <w:rFonts w:ascii="Times New Roman" w:hAnsi="Times New Roman" w:cs="Times New Roman"/>
          <w:bCs/>
          <w:sz w:val="24"/>
          <w:szCs w:val="24"/>
        </w:rPr>
        <w:t>УДК</w:t>
      </w:r>
      <w:r w:rsidR="00E050E6" w:rsidRPr="00006F9E">
        <w:rPr>
          <w:rFonts w:ascii="Times New Roman" w:hAnsi="Times New Roman" w:cs="Times New Roman"/>
          <w:bCs/>
          <w:sz w:val="24"/>
          <w:szCs w:val="24"/>
        </w:rPr>
        <w:t xml:space="preserve"> 331.45:658.8</w:t>
      </w:r>
    </w:p>
    <w:p w14:paraId="03F42A5E" w14:textId="480F3D93" w:rsidR="00DB7709" w:rsidRDefault="00547974" w:rsidP="00AD0220">
      <w:pPr>
        <w:pStyle w:val="OCSukr"/>
        <w:spacing w:line="360" w:lineRule="auto"/>
        <w:jc w:val="center"/>
        <w:rPr>
          <w:bCs/>
          <w:sz w:val="24"/>
          <w:szCs w:val="24"/>
        </w:rPr>
      </w:pPr>
      <w:bookmarkStart w:id="0" w:name="_GoBack"/>
      <w:bookmarkEnd w:id="0"/>
      <w:r w:rsidRPr="00DB7709">
        <w:rPr>
          <w:bCs/>
          <w:sz w:val="24"/>
          <w:szCs w:val="24"/>
        </w:rPr>
        <w:t>МАРКЕТИНГ СТРАТЕГІЙ ОХОРОНИ ПРАЦІ НА ПІДПРИЄМСТВАХ</w:t>
      </w:r>
    </w:p>
    <w:p w14:paraId="0BB9F8DD" w14:textId="18968C8E" w:rsidR="00006F9E" w:rsidRPr="00DB7709" w:rsidRDefault="00006F9E" w:rsidP="00006F9E">
      <w:pPr>
        <w:pStyle w:val="OCSukr"/>
        <w:spacing w:line="360" w:lineRule="auto"/>
        <w:jc w:val="center"/>
        <w:rPr>
          <w:sz w:val="24"/>
          <w:szCs w:val="24"/>
          <w:lang w:val="ru-RU"/>
        </w:rPr>
      </w:pPr>
      <w:r w:rsidRPr="00DB7709">
        <w:rPr>
          <w:i/>
          <w:sz w:val="24"/>
          <w:szCs w:val="24"/>
          <w:lang w:val="ru-RU"/>
        </w:rPr>
        <w:t>Скупа</w:t>
      </w:r>
      <w:r w:rsidRPr="00AD0220">
        <w:rPr>
          <w:i/>
          <w:sz w:val="24"/>
          <w:szCs w:val="24"/>
          <w:lang w:val="ru-RU"/>
        </w:rPr>
        <w:t xml:space="preserve"> </w:t>
      </w:r>
      <w:r>
        <w:rPr>
          <w:i/>
          <w:sz w:val="24"/>
          <w:szCs w:val="24"/>
          <w:lang w:val="ru-RU"/>
        </w:rPr>
        <w:t>Я. М.</w:t>
      </w:r>
    </w:p>
    <w:p w14:paraId="44754048" w14:textId="0787A617" w:rsidR="00DB7709" w:rsidRPr="00006F9E" w:rsidRDefault="00DB7709" w:rsidP="00AD0220">
      <w:pPr>
        <w:pStyle w:val="OCSukr"/>
        <w:spacing w:line="360" w:lineRule="auto"/>
        <w:jc w:val="center"/>
        <w:rPr>
          <w:b w:val="0"/>
          <w:i/>
          <w:sz w:val="24"/>
          <w:szCs w:val="24"/>
        </w:rPr>
      </w:pPr>
      <w:r w:rsidRPr="00DB7709">
        <w:rPr>
          <w:i/>
          <w:sz w:val="24"/>
          <w:szCs w:val="24"/>
          <w:lang w:val="ru-RU"/>
        </w:rPr>
        <w:t>Віштак</w:t>
      </w:r>
      <w:r w:rsidRPr="00DB7709">
        <w:rPr>
          <w:i/>
          <w:sz w:val="24"/>
          <w:szCs w:val="24"/>
          <w:lang w:val="ru-RU"/>
        </w:rPr>
        <w:t xml:space="preserve"> </w:t>
      </w:r>
      <w:r w:rsidRPr="00DB7709">
        <w:rPr>
          <w:i/>
          <w:sz w:val="24"/>
          <w:szCs w:val="24"/>
          <w:lang w:val="ru-RU"/>
        </w:rPr>
        <w:t>І. В.</w:t>
      </w:r>
      <w:r>
        <w:rPr>
          <w:i/>
          <w:sz w:val="24"/>
          <w:szCs w:val="24"/>
          <w:lang w:val="ru-RU"/>
        </w:rPr>
        <w:t xml:space="preserve">, </w:t>
      </w:r>
      <w:proofErr w:type="gramStart"/>
      <w:r w:rsidRPr="00006F9E">
        <w:rPr>
          <w:b w:val="0"/>
          <w:i/>
          <w:sz w:val="24"/>
          <w:szCs w:val="24"/>
          <w:lang w:val="ru-RU"/>
        </w:rPr>
        <w:t>к .</w:t>
      </w:r>
      <w:proofErr w:type="gramEnd"/>
      <w:r w:rsidRPr="00006F9E">
        <w:rPr>
          <w:b w:val="0"/>
          <w:i/>
          <w:sz w:val="24"/>
          <w:szCs w:val="24"/>
          <w:lang w:val="ru-RU"/>
        </w:rPr>
        <w:t xml:space="preserve">т.н., доцент, </w:t>
      </w:r>
      <w:r w:rsidR="00AD0220" w:rsidRPr="00006F9E">
        <w:rPr>
          <w:b w:val="0"/>
          <w:i/>
          <w:sz w:val="24"/>
          <w:szCs w:val="24"/>
        </w:rPr>
        <w:t>доцент кафедри безпеки життєдіяльності та педагогіки безпеки</w:t>
      </w:r>
    </w:p>
    <w:p w14:paraId="5862DFCD" w14:textId="1E23ADFC" w:rsidR="001E0D01" w:rsidRDefault="00006F9E" w:rsidP="00AD0220">
      <w:pPr>
        <w:tabs>
          <w:tab w:val="left" w:pos="1068"/>
          <w:tab w:val="center" w:pos="4819"/>
        </w:tabs>
        <w:spacing w:after="0" w:line="360" w:lineRule="auto"/>
        <w:jc w:val="center"/>
        <w:rPr>
          <w:rFonts w:ascii="Times New Roman" w:hAnsi="Times New Roman" w:cs="Times New Roman"/>
          <w:b/>
          <w:sz w:val="24"/>
          <w:szCs w:val="24"/>
          <w:lang w:val="ru-RU"/>
        </w:rPr>
      </w:pPr>
      <w:proofErr w:type="spellStart"/>
      <w:r w:rsidRPr="00006F9E">
        <w:rPr>
          <w:rFonts w:ascii="Times New Roman" w:hAnsi="Times New Roman" w:cs="Times New Roman"/>
          <w:b/>
          <w:sz w:val="24"/>
          <w:szCs w:val="24"/>
          <w:lang w:val="ru-RU"/>
        </w:rPr>
        <w:t>Вінницький</w:t>
      </w:r>
      <w:proofErr w:type="spellEnd"/>
      <w:r w:rsidRPr="00006F9E">
        <w:rPr>
          <w:rFonts w:ascii="Times New Roman" w:hAnsi="Times New Roman" w:cs="Times New Roman"/>
          <w:b/>
          <w:sz w:val="24"/>
          <w:szCs w:val="24"/>
          <w:lang w:val="ru-RU"/>
        </w:rPr>
        <w:t xml:space="preserve"> </w:t>
      </w:r>
      <w:proofErr w:type="spellStart"/>
      <w:r w:rsidRPr="00006F9E">
        <w:rPr>
          <w:rFonts w:ascii="Times New Roman" w:hAnsi="Times New Roman" w:cs="Times New Roman"/>
          <w:b/>
          <w:sz w:val="24"/>
          <w:szCs w:val="24"/>
          <w:lang w:val="ru-RU"/>
        </w:rPr>
        <w:t>національний</w:t>
      </w:r>
      <w:proofErr w:type="spellEnd"/>
      <w:r w:rsidRPr="00006F9E">
        <w:rPr>
          <w:rFonts w:ascii="Times New Roman" w:hAnsi="Times New Roman" w:cs="Times New Roman"/>
          <w:b/>
          <w:sz w:val="24"/>
          <w:szCs w:val="24"/>
          <w:lang w:val="ru-RU"/>
        </w:rPr>
        <w:t xml:space="preserve"> </w:t>
      </w:r>
      <w:proofErr w:type="spellStart"/>
      <w:r w:rsidRPr="00006F9E">
        <w:rPr>
          <w:rFonts w:ascii="Times New Roman" w:hAnsi="Times New Roman" w:cs="Times New Roman"/>
          <w:b/>
          <w:sz w:val="24"/>
          <w:szCs w:val="24"/>
          <w:lang w:val="ru-RU"/>
        </w:rPr>
        <w:t>технічний</w:t>
      </w:r>
      <w:proofErr w:type="spellEnd"/>
      <w:r w:rsidRPr="00006F9E">
        <w:rPr>
          <w:rFonts w:ascii="Times New Roman" w:hAnsi="Times New Roman" w:cs="Times New Roman"/>
          <w:b/>
          <w:sz w:val="24"/>
          <w:szCs w:val="24"/>
          <w:lang w:val="ru-RU"/>
        </w:rPr>
        <w:t xml:space="preserve"> </w:t>
      </w:r>
      <w:proofErr w:type="spellStart"/>
      <w:r w:rsidRPr="00006F9E">
        <w:rPr>
          <w:rFonts w:ascii="Times New Roman" w:hAnsi="Times New Roman" w:cs="Times New Roman"/>
          <w:b/>
          <w:sz w:val="24"/>
          <w:szCs w:val="24"/>
          <w:lang w:val="ru-RU"/>
        </w:rPr>
        <w:t>університет</w:t>
      </w:r>
      <w:proofErr w:type="spellEnd"/>
    </w:p>
    <w:p w14:paraId="59D650EC" w14:textId="77777777" w:rsidR="00006F9E" w:rsidRPr="00006F9E" w:rsidRDefault="00006F9E" w:rsidP="00AD0220">
      <w:pPr>
        <w:tabs>
          <w:tab w:val="left" w:pos="1068"/>
          <w:tab w:val="center" w:pos="4819"/>
        </w:tabs>
        <w:spacing w:after="0" w:line="360" w:lineRule="auto"/>
        <w:jc w:val="center"/>
        <w:rPr>
          <w:rFonts w:ascii="Times New Roman" w:hAnsi="Times New Roman" w:cs="Times New Roman"/>
          <w:bCs/>
          <w:sz w:val="24"/>
          <w:szCs w:val="24"/>
        </w:rPr>
      </w:pPr>
    </w:p>
    <w:p w14:paraId="215A6B0A" w14:textId="01239702"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Сучасні підприємства функціонують у динамічному середовищі, де основну роль відіграє не лише економічна ефективність, а й соціальна відповідальність бізнесу. Охорона праці є важливою складовою стратегії сталого розвитку підприємств, оскільки безпечні умови праці не тільки знижують ризики виробничого травматизму та професійних захворювань, а й підвищують продуктивність працівників, рівень їхньої мотивації та лояльності. Водночас традиційні підходи до забезпечення охорони праці часто виявляються недостатньо ефективними, оскільки акцентуються переважно на дотриманні нормативних вимог без належного врахування маркетингових інструментів</w:t>
      </w:r>
      <w:r w:rsidR="00B278F4" w:rsidRPr="00DB7709">
        <w:rPr>
          <w:rFonts w:ascii="Times New Roman" w:hAnsi="Times New Roman" w:cs="Times New Roman"/>
          <w:sz w:val="24"/>
          <w:szCs w:val="24"/>
          <w:lang w:val="ru-RU"/>
        </w:rPr>
        <w:t xml:space="preserve"> [1]</w:t>
      </w:r>
      <w:r w:rsidRPr="00DB7709">
        <w:rPr>
          <w:rFonts w:ascii="Times New Roman" w:hAnsi="Times New Roman" w:cs="Times New Roman"/>
          <w:sz w:val="24"/>
          <w:szCs w:val="24"/>
        </w:rPr>
        <w:t>.</w:t>
      </w:r>
    </w:p>
    <w:p w14:paraId="24C931CE" w14:textId="77777777"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Маркетингові стратегії у сфері охорони праці спрямовані на формування позитивного іміджу компанії, залучення кваліфікованих кадрів, зміцнення корпоративної культури та створення довготривалих партнерських відносин із зацікавленими сторонами. Застосування маркетингових інструментів у сфері охорони праці дозволяє не лише розширити вплив підприємства на внутрішню та зовнішню аудиторію, а й ефективніше комунікувати з працівниками, державними органами та громадськістю.</w:t>
      </w:r>
    </w:p>
    <w:p w14:paraId="546CFBEB" w14:textId="01441B98"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Розвиток цифрових технологій відкриває нові можливості для просування стратегій охорони праці через соціальні мережі, корпоративні платформи, мобільні додатки та інші інноваційні засоби комунікації. Водночас інтеграція охорони праці у загальну бізнес-стратегію підприємства дозволяє значно підвищити її ефективність, знизити рівень виробничого травматизму та створити сприятливі умови для довгострокового розвитку бізнесу. Охорона праці є невід'ємною складовою діяльності будь-якого підприємства, незалежно від його розміру, форми власності чи сфери діяльності. В умовах глобалізації, зростаючих вимог до безпеки працівників та посилення контролю з боку регуляторних органів, підприємства стикаються з необхідністю розробки та впровадження ефективних стратегій охорони праці</w:t>
      </w:r>
      <w:r w:rsidR="00B278F4" w:rsidRPr="00DB7709">
        <w:rPr>
          <w:rFonts w:ascii="Times New Roman" w:hAnsi="Times New Roman" w:cs="Times New Roman"/>
          <w:sz w:val="24"/>
          <w:szCs w:val="24"/>
        </w:rPr>
        <w:t xml:space="preserve"> [2]</w:t>
      </w:r>
      <w:r w:rsidRPr="00DB7709">
        <w:rPr>
          <w:rFonts w:ascii="Times New Roman" w:hAnsi="Times New Roman" w:cs="Times New Roman"/>
          <w:sz w:val="24"/>
          <w:szCs w:val="24"/>
        </w:rPr>
        <w:t>.</w:t>
      </w:r>
    </w:p>
    <w:p w14:paraId="740938B7" w14:textId="77777777"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 xml:space="preserve">Традиційні підходи, що ґрунтуються виключно на виконанні законодавчих норм, не забезпечують комплексного підходу до управління безпекою праці. Вони часто розглядаються як формальність, що не сприяє активному залученню працівників до створення безпечного робочого середовища. У цьому контексті маркетингові стратегії охорони праці набувають </w:t>
      </w:r>
      <w:r w:rsidRPr="00DB7709">
        <w:rPr>
          <w:rFonts w:ascii="Times New Roman" w:hAnsi="Times New Roman" w:cs="Times New Roman"/>
          <w:sz w:val="24"/>
          <w:szCs w:val="24"/>
        </w:rPr>
        <w:lastRenderedPageBreak/>
        <w:t>особливого значення, оскільки дозволяють не лише відповідати чинним вимогам, а й створювати позитивний імідж компанії, підвищувати рівень відповідальності серед персоналу та запобігати нещасним випадкам на виробництві.</w:t>
      </w:r>
    </w:p>
    <w:p w14:paraId="20D1B639" w14:textId="1F577274"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Впровадження маркетингових стратегій охорони праці сприяє ефективній комунікації між керівництвом та працівниками, розробці внутрішніх корпоративних програм, формуванню культури безпеки та мотивації персоналу до дотримання норм охорони праці. Залучення цифрових технологій, використання соціальних мереж, навчальних платформ та візуальних комунікаційних засобів сприяє підвищенню ефективності інформаційних кампаній та покращенню рівня обізнаності працівників щодо питань безпеки</w:t>
      </w:r>
      <w:r w:rsidR="00B278F4" w:rsidRPr="00DB7709">
        <w:rPr>
          <w:rFonts w:ascii="Times New Roman" w:hAnsi="Times New Roman" w:cs="Times New Roman"/>
          <w:sz w:val="24"/>
          <w:szCs w:val="24"/>
        </w:rPr>
        <w:t xml:space="preserve"> [3</w:t>
      </w:r>
      <w:r w:rsidR="00DB35B0" w:rsidRPr="00DB7709">
        <w:rPr>
          <w:rFonts w:ascii="Times New Roman" w:hAnsi="Times New Roman" w:cs="Times New Roman"/>
          <w:sz w:val="24"/>
          <w:szCs w:val="24"/>
        </w:rPr>
        <w:t>-5</w:t>
      </w:r>
      <w:r w:rsidR="00B278F4" w:rsidRPr="00DB7709">
        <w:rPr>
          <w:rFonts w:ascii="Times New Roman" w:hAnsi="Times New Roman" w:cs="Times New Roman"/>
          <w:sz w:val="24"/>
          <w:szCs w:val="24"/>
        </w:rPr>
        <w:t>]</w:t>
      </w:r>
      <w:r w:rsidRPr="00DB7709">
        <w:rPr>
          <w:rFonts w:ascii="Times New Roman" w:hAnsi="Times New Roman" w:cs="Times New Roman"/>
          <w:sz w:val="24"/>
          <w:szCs w:val="24"/>
        </w:rPr>
        <w:t>.</w:t>
      </w:r>
    </w:p>
    <w:p w14:paraId="1B0D38DE" w14:textId="5F76B60A"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Маркетингові стратегії охорони праці на підприємствах є важливим елементом сучасного менеджменту, що спрямований на створення безпечного виробничого середовища, підвищення продуктивності працівників і формування позитивного іміджу компанії. В умовах глобалізації та посилення конкурентної боротьби підприємства зіштовхуються з необхідністю не лише дотримуватися законодавчих вимог щодо охорони праці, а й інтегрувати ці принципи у свої загальні бізнес-стратегії. Маркетингова складова управління охороною праці дозволяє ефективно комунікувати з внутрішніми та зовнішніми стейкхолдерами, формувати корпоративну культуру безпеки та підвищувати рівень відповідальності працівників за дотримання стандартів. Сучасний маркетинг у сфері охорони праці передбачає використання інструментів просування, інформаційних кампаній, брендингу та соціальних комунікацій для створення сприятливих умов праці, що, у свою чергу, позитивно впливає на мотивацію персоналу та загальну ефективність підприємства.</w:t>
      </w:r>
    </w:p>
    <w:p w14:paraId="654B6387" w14:textId="360AA7AD"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З основних принципів маркетингових стратегій охорони праці є впровадження ефективних комунікаційних технологій, спрямованих на формування у працівників стійких навичок безпечної поведінки на робочому місці. Використання внутрішніх корпоративних медіа, соціальних мереж, мобільних додатків та інтерактивних платформ дозволяє підприємствам своєчасно інформувати співробітників про зміни у нормативно-правовій базі, нагадувати про необхідність дотримання правил безпеки та проводити навчальні програми у зручному форматі. Візуалізація інформації через інфографіки, відео та інтерактивні модулі сприяє кращому засвоєнню матеріалу, а ігрові механізми у системах навчання підвищують залученість персоналу до процесу підвищення культури безпеки. Залучення працівників до активної участі у створенні корпоративних стандартів безпеки через опитування, зворотний зв’язок та внутрішні форуми дозволяє формувати більш ефективну систему управління охороною праці, що враховує реальні потреби персоналу</w:t>
      </w:r>
      <w:r w:rsidR="00B278F4" w:rsidRPr="00DB7709">
        <w:rPr>
          <w:rFonts w:ascii="Times New Roman" w:hAnsi="Times New Roman" w:cs="Times New Roman"/>
          <w:sz w:val="24"/>
          <w:szCs w:val="24"/>
        </w:rPr>
        <w:t xml:space="preserve"> [</w:t>
      </w:r>
      <w:r w:rsidR="00DB35B0" w:rsidRPr="00DB7709">
        <w:rPr>
          <w:rFonts w:ascii="Times New Roman" w:hAnsi="Times New Roman" w:cs="Times New Roman"/>
          <w:sz w:val="24"/>
          <w:szCs w:val="24"/>
        </w:rPr>
        <w:t>6</w:t>
      </w:r>
      <w:r w:rsidR="00B278F4" w:rsidRPr="00DB7709">
        <w:rPr>
          <w:rFonts w:ascii="Times New Roman" w:hAnsi="Times New Roman" w:cs="Times New Roman"/>
          <w:sz w:val="24"/>
          <w:szCs w:val="24"/>
        </w:rPr>
        <w:t>]</w:t>
      </w:r>
      <w:r w:rsidRPr="00DB7709">
        <w:rPr>
          <w:rFonts w:ascii="Times New Roman" w:hAnsi="Times New Roman" w:cs="Times New Roman"/>
          <w:sz w:val="24"/>
          <w:szCs w:val="24"/>
        </w:rPr>
        <w:t>.</w:t>
      </w:r>
    </w:p>
    <w:p w14:paraId="18362BCE" w14:textId="77777777"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 xml:space="preserve">Важливу роль у маркетингових стратегіях охорони праці відіграє іміджева складова, оскільки соціальна відповідальність бізнесу та високий рівень безпеки на підприємстві </w:t>
      </w:r>
      <w:r w:rsidRPr="00DB7709">
        <w:rPr>
          <w:rFonts w:ascii="Times New Roman" w:hAnsi="Times New Roman" w:cs="Times New Roman"/>
          <w:sz w:val="24"/>
          <w:szCs w:val="24"/>
        </w:rPr>
        <w:lastRenderedPageBreak/>
        <w:t>сприяють формуванню позитивного сприйняття компанії як на ринку праці, так і серед клієнтів та партнерів. Підприємства, які систематично інвестують у безпеку праці та реалізують комплексні інформаційні кампанії, мають перевагу у залученні висококваліфікованих кадрів, зменшенні рівня плинності персоналу та покращенні внутрішнього мікроклімату. Крім того, застосування маркетингових стратегій у сфері охорони праці допомагає зміцнювати корпоративний бренд, демонструючи відповідальне ставлення до працівників, що є важливим фактором при виборі постачальників та партнерів. Зростаюча увага суспільства до соціальної відповідальності компаній вимагає від бізнесу відкритості у питаннях безпеки праці, що реалізується через публічне розкриття відповідних показників, створення звітів про стан охорони праці та залучення незалежних аудиторів до оцінки ефективності відповідних програм.</w:t>
      </w:r>
    </w:p>
    <w:p w14:paraId="713B37AE" w14:textId="0E8AB170"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Ефективні маркетингові стратегії охорони праці включають також внутрішні програми мотивації персоналу, спрямовані на формування культури безпеки. Використання системи матеріального та нематеріального заохочення дозволяє стимулювати відповідальне ставлення до дотримання стандартів охорони праці, підвищує рівень залученості працівників та зменшує ризики виробничого травматизму. Впровадження конкурсів, преміальних програм, системи внутрішніх сертифікатів та публічного визнання працівників, які демонструють високу відповідальність у сфері безпеки праці, сприяє підвищенню рівня усвідомлення важливості цих питань серед персоналу. Формування довгострокової стратегії розвитку корпоративної культури безпеки дозволяє підприємствам не лише зменшити витрати на компенсації у разі нещасних випадків, а й підвищити загальний рівень ефективності виробництва завдяки створенню стабільного та безпечного середовища для роботи</w:t>
      </w:r>
      <w:r w:rsidR="00B278F4" w:rsidRPr="00DB7709">
        <w:rPr>
          <w:rFonts w:ascii="Times New Roman" w:hAnsi="Times New Roman" w:cs="Times New Roman"/>
          <w:sz w:val="24"/>
          <w:szCs w:val="24"/>
        </w:rPr>
        <w:t xml:space="preserve"> [</w:t>
      </w:r>
      <w:r w:rsidR="00DB35B0" w:rsidRPr="00DB7709">
        <w:rPr>
          <w:rFonts w:ascii="Times New Roman" w:hAnsi="Times New Roman" w:cs="Times New Roman"/>
          <w:sz w:val="24"/>
          <w:szCs w:val="24"/>
        </w:rPr>
        <w:t>7</w:t>
      </w:r>
      <w:r w:rsidR="00B278F4" w:rsidRPr="00DB7709">
        <w:rPr>
          <w:rFonts w:ascii="Times New Roman" w:hAnsi="Times New Roman" w:cs="Times New Roman"/>
          <w:sz w:val="24"/>
          <w:szCs w:val="24"/>
        </w:rPr>
        <w:t>]</w:t>
      </w:r>
      <w:r w:rsidRPr="00DB7709">
        <w:rPr>
          <w:rFonts w:ascii="Times New Roman" w:hAnsi="Times New Roman" w:cs="Times New Roman"/>
          <w:sz w:val="24"/>
          <w:szCs w:val="24"/>
        </w:rPr>
        <w:t>.</w:t>
      </w:r>
    </w:p>
    <w:p w14:paraId="07D3F0BF" w14:textId="182EA3A4"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У сучасних умовах важливим принципом маркетингових стратегій охорони праці є застосування цифрових технологій для моніторингу ризиків та аналізу ефективності впроваджених заходів. Використання програмного забезпечення для аналізу даних про безпеку праці, автоматизованих систем управління ризиками та інтеграція цих рішень у загальну інформаційну екосистему підприємства дозволяє оперативно реагувати на потенційні загрози, запобігати аварійним ситуаціям та покращувати процеси прийняття рішень у сфері охорони праці. Використання технологій штучного інтелекту та інтернету речей у поєднанні з маркетинговими комунікаціями відкриває нові можливості для персоналізації підходів до навчання працівників, формування індивідуальних рекомендацій з охорони праці та автоматизації процесів контролю за дотриманням норм безпеки.</w:t>
      </w:r>
    </w:p>
    <w:p w14:paraId="68C77D77" w14:textId="70E89DB3" w:rsidR="00547974" w:rsidRPr="00DB7709" w:rsidRDefault="00547974" w:rsidP="00AD0220">
      <w:pPr>
        <w:spacing w:after="0" w:line="360" w:lineRule="auto"/>
        <w:ind w:firstLine="851"/>
        <w:contextualSpacing/>
        <w:jc w:val="both"/>
        <w:rPr>
          <w:rFonts w:ascii="Times New Roman" w:hAnsi="Times New Roman" w:cs="Times New Roman"/>
          <w:sz w:val="24"/>
          <w:szCs w:val="24"/>
        </w:rPr>
      </w:pPr>
      <w:r w:rsidRPr="00DB7709">
        <w:rPr>
          <w:rFonts w:ascii="Times New Roman" w:hAnsi="Times New Roman" w:cs="Times New Roman"/>
          <w:sz w:val="24"/>
          <w:szCs w:val="24"/>
        </w:rPr>
        <w:t xml:space="preserve">Таким чином, маркетингові стратегії охорони праці на підприємствах є важливим інструментом управління, що сприяє не лише зниженню виробничих ризиків, а й підвищенню загальної ефективності компанії. Вони включають використання сучасних комунікаційних </w:t>
      </w:r>
      <w:r w:rsidRPr="00DB7709">
        <w:rPr>
          <w:rFonts w:ascii="Times New Roman" w:hAnsi="Times New Roman" w:cs="Times New Roman"/>
          <w:sz w:val="24"/>
          <w:szCs w:val="24"/>
        </w:rPr>
        <w:lastRenderedPageBreak/>
        <w:t>засобів, іміджевих кампаній, програм мотивації персоналу та цифрових технологій для моніторингу стану безпеки. Інтеграція охорони праці у загальну маркетингову стратегію підприємства дозволяє створювати безпечне робоче середовище, підвищувати конкурентоспроможність компанії та формувати довгострокові партнерські відносини з основними стейкхолдерами.</w:t>
      </w:r>
    </w:p>
    <w:p w14:paraId="415CBC3F" w14:textId="710CD8C6" w:rsidR="00B278F4" w:rsidRPr="00DB7709" w:rsidRDefault="00B278F4" w:rsidP="00AD0220">
      <w:pPr>
        <w:spacing w:after="0" w:line="360" w:lineRule="auto"/>
        <w:ind w:firstLine="851"/>
        <w:contextualSpacing/>
        <w:jc w:val="center"/>
        <w:rPr>
          <w:rFonts w:ascii="Times New Roman" w:hAnsi="Times New Roman" w:cs="Times New Roman"/>
          <w:b/>
          <w:bCs/>
          <w:sz w:val="24"/>
          <w:szCs w:val="24"/>
        </w:rPr>
      </w:pPr>
      <w:r w:rsidRPr="00DB7709">
        <w:rPr>
          <w:rFonts w:ascii="Times New Roman" w:hAnsi="Times New Roman" w:cs="Times New Roman"/>
          <w:b/>
          <w:bCs/>
          <w:sz w:val="24"/>
          <w:szCs w:val="24"/>
        </w:rPr>
        <w:t xml:space="preserve">Список використаних джерел </w:t>
      </w:r>
    </w:p>
    <w:p w14:paraId="4B72F7F5"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r w:rsidRPr="00DB7709">
        <w:t xml:space="preserve">Леонова С., Рудник Л., </w:t>
      </w:r>
      <w:proofErr w:type="spellStart"/>
      <w:r w:rsidRPr="00DB7709">
        <w:t>Басараб</w:t>
      </w:r>
      <w:proofErr w:type="spellEnd"/>
      <w:r w:rsidRPr="00DB7709">
        <w:t xml:space="preserve"> Н. Формування ефективних маркетингових стратегій підприємствами будівельної галузі в умовах повоєнного відновлення // Економіка та суспільство. 2024. № 69. URL: </w:t>
      </w:r>
      <w:hyperlink r:id="rId5" w:history="1">
        <w:r w:rsidRPr="00DB7709">
          <w:rPr>
            <w:rStyle w:val="a4"/>
          </w:rPr>
          <w:t>https://doi.org/10.32782/2524-0072/2024-69-151</w:t>
        </w:r>
      </w:hyperlink>
    </w:p>
    <w:p w14:paraId="149F60AD"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r w:rsidRPr="00DB7709">
        <w:t xml:space="preserve">Носань Н. Інноваційні маркетингові стратегії сучасного українського підприємства // Економіка та суспільство. 2024. № 59. URL: </w:t>
      </w:r>
      <w:hyperlink r:id="rId6" w:history="1">
        <w:r w:rsidRPr="00DB7709">
          <w:rPr>
            <w:rStyle w:val="a4"/>
          </w:rPr>
          <w:t>https://doi.org/10.32782/2524-0072/2024-59-106</w:t>
        </w:r>
      </w:hyperlink>
    </w:p>
    <w:p w14:paraId="414C8B30"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proofErr w:type="spellStart"/>
      <w:r w:rsidRPr="00DB7709">
        <w:t>Щербатюк</w:t>
      </w:r>
      <w:proofErr w:type="spellEnd"/>
      <w:r w:rsidRPr="00DB7709">
        <w:t xml:space="preserve"> І. В. Адаптація маркетингової політики комунікації до умов воєнного стану : магістерська </w:t>
      </w:r>
      <w:proofErr w:type="spellStart"/>
      <w:r w:rsidRPr="00DB7709">
        <w:t>дис</w:t>
      </w:r>
      <w:proofErr w:type="spellEnd"/>
      <w:r w:rsidRPr="00DB7709">
        <w:t xml:space="preserve">. : 075 Маркетинг / Ірина Віталіївна </w:t>
      </w:r>
      <w:proofErr w:type="spellStart"/>
      <w:r w:rsidRPr="00DB7709">
        <w:t>Щербатюк</w:t>
      </w:r>
      <w:proofErr w:type="spellEnd"/>
      <w:r w:rsidRPr="00DB7709">
        <w:t>. – Київ, 2024. – 147 с.</w:t>
      </w:r>
    </w:p>
    <w:p w14:paraId="30848F13"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r w:rsidRPr="00DB7709">
        <w:t xml:space="preserve">Ільченко Т., </w:t>
      </w:r>
      <w:proofErr w:type="spellStart"/>
      <w:r w:rsidRPr="00DB7709">
        <w:t>Помазан</w:t>
      </w:r>
      <w:proofErr w:type="spellEnd"/>
      <w:r w:rsidRPr="00DB7709">
        <w:t xml:space="preserve"> Л. Маркетингова комунікаційна політика: сутність та особливості на промисловому підприємстві // Економіка та суспільство. 2022. № 43. URL: </w:t>
      </w:r>
      <w:hyperlink r:id="rId7" w:history="1">
        <w:r w:rsidRPr="00DB7709">
          <w:rPr>
            <w:rStyle w:val="a4"/>
          </w:rPr>
          <w:t>https://doi.org/10.32782/2524-0072/2022-43-47</w:t>
        </w:r>
      </w:hyperlink>
    </w:p>
    <w:p w14:paraId="68718F30"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proofErr w:type="spellStart"/>
      <w:r w:rsidRPr="00DB7709">
        <w:t>Savytska</w:t>
      </w:r>
      <w:proofErr w:type="spellEnd"/>
      <w:r w:rsidRPr="00DB7709">
        <w:t xml:space="preserve"> N., </w:t>
      </w:r>
      <w:proofErr w:type="spellStart"/>
      <w:r w:rsidRPr="00DB7709">
        <w:t>Babenko</w:t>
      </w:r>
      <w:proofErr w:type="spellEnd"/>
      <w:r w:rsidRPr="00DB7709">
        <w:t xml:space="preserve"> V., </w:t>
      </w:r>
      <w:proofErr w:type="spellStart"/>
      <w:r w:rsidRPr="00DB7709">
        <w:t>Chmil</w:t>
      </w:r>
      <w:proofErr w:type="spellEnd"/>
      <w:r w:rsidRPr="00DB7709">
        <w:t xml:space="preserve"> H., </w:t>
      </w:r>
      <w:proofErr w:type="spellStart"/>
      <w:r w:rsidRPr="00DB7709">
        <w:t>Priadko</w:t>
      </w:r>
      <w:proofErr w:type="spellEnd"/>
      <w:r w:rsidRPr="00DB7709">
        <w:t xml:space="preserve"> O., </w:t>
      </w:r>
      <w:proofErr w:type="spellStart"/>
      <w:r w:rsidRPr="00DB7709">
        <w:t>Bubenets</w:t>
      </w:r>
      <w:proofErr w:type="spellEnd"/>
      <w:r w:rsidRPr="00DB7709">
        <w:t xml:space="preserve"> I. </w:t>
      </w:r>
      <w:proofErr w:type="spellStart"/>
      <w:r w:rsidRPr="00DB7709">
        <w:t>Digitalization</w:t>
      </w:r>
      <w:proofErr w:type="spellEnd"/>
      <w:r w:rsidRPr="00DB7709">
        <w:t xml:space="preserve"> </w:t>
      </w:r>
      <w:proofErr w:type="spellStart"/>
      <w:r w:rsidRPr="00DB7709">
        <w:t>of</w:t>
      </w:r>
      <w:proofErr w:type="spellEnd"/>
      <w:r w:rsidRPr="00DB7709">
        <w:t xml:space="preserve"> </w:t>
      </w:r>
      <w:proofErr w:type="spellStart"/>
      <w:r w:rsidRPr="00DB7709">
        <w:t>Business</w:t>
      </w:r>
      <w:proofErr w:type="spellEnd"/>
      <w:r w:rsidRPr="00DB7709">
        <w:t xml:space="preserve"> </w:t>
      </w:r>
      <w:proofErr w:type="spellStart"/>
      <w:r w:rsidRPr="00DB7709">
        <w:t>Development</w:t>
      </w:r>
      <w:proofErr w:type="spellEnd"/>
      <w:r w:rsidRPr="00DB7709">
        <w:t xml:space="preserve"> </w:t>
      </w:r>
      <w:proofErr w:type="spellStart"/>
      <w:r w:rsidRPr="00DB7709">
        <w:t>Marketing</w:t>
      </w:r>
      <w:proofErr w:type="spellEnd"/>
      <w:r w:rsidRPr="00DB7709">
        <w:t xml:space="preserve"> </w:t>
      </w:r>
      <w:proofErr w:type="spellStart"/>
      <w:r w:rsidRPr="00DB7709">
        <w:t>Tools</w:t>
      </w:r>
      <w:proofErr w:type="spellEnd"/>
      <w:r w:rsidRPr="00DB7709">
        <w:t xml:space="preserve"> </w:t>
      </w:r>
      <w:proofErr w:type="spellStart"/>
      <w:r w:rsidRPr="00DB7709">
        <w:t>in</w:t>
      </w:r>
      <w:proofErr w:type="spellEnd"/>
      <w:r w:rsidRPr="00DB7709">
        <w:t xml:space="preserve"> </w:t>
      </w:r>
      <w:proofErr w:type="spellStart"/>
      <w:r w:rsidRPr="00DB7709">
        <w:t>the</w:t>
      </w:r>
      <w:proofErr w:type="spellEnd"/>
      <w:r w:rsidRPr="00DB7709">
        <w:t xml:space="preserve"> B2C </w:t>
      </w:r>
      <w:proofErr w:type="spellStart"/>
      <w:r w:rsidRPr="00DB7709">
        <w:t>Market</w:t>
      </w:r>
      <w:proofErr w:type="spellEnd"/>
      <w:r w:rsidRPr="00DB7709">
        <w:t xml:space="preserve"> // </w:t>
      </w:r>
      <w:proofErr w:type="spellStart"/>
      <w:r w:rsidRPr="00DB7709">
        <w:t>Journal</w:t>
      </w:r>
      <w:proofErr w:type="spellEnd"/>
      <w:r w:rsidRPr="00DB7709">
        <w:t xml:space="preserve"> </w:t>
      </w:r>
      <w:proofErr w:type="spellStart"/>
      <w:r w:rsidRPr="00DB7709">
        <w:t>of</w:t>
      </w:r>
      <w:proofErr w:type="spellEnd"/>
      <w:r w:rsidRPr="00DB7709">
        <w:t xml:space="preserve"> </w:t>
      </w:r>
      <w:proofErr w:type="spellStart"/>
      <w:r w:rsidRPr="00DB7709">
        <w:t>Information</w:t>
      </w:r>
      <w:proofErr w:type="spellEnd"/>
      <w:r w:rsidRPr="00DB7709">
        <w:t xml:space="preserve"> </w:t>
      </w:r>
      <w:proofErr w:type="spellStart"/>
      <w:r w:rsidRPr="00DB7709">
        <w:t>Technology</w:t>
      </w:r>
      <w:proofErr w:type="spellEnd"/>
      <w:r w:rsidRPr="00DB7709">
        <w:t xml:space="preserve"> </w:t>
      </w:r>
      <w:proofErr w:type="spellStart"/>
      <w:r w:rsidRPr="00DB7709">
        <w:t>Management</w:t>
      </w:r>
      <w:proofErr w:type="spellEnd"/>
      <w:r w:rsidRPr="00DB7709">
        <w:t xml:space="preserve">. 2023. </w:t>
      </w:r>
      <w:proofErr w:type="spellStart"/>
      <w:r w:rsidRPr="00DB7709">
        <w:t>Vol</w:t>
      </w:r>
      <w:proofErr w:type="spellEnd"/>
      <w:r w:rsidRPr="00DB7709">
        <w:t xml:space="preserve">. 15, </w:t>
      </w:r>
      <w:proofErr w:type="spellStart"/>
      <w:r w:rsidRPr="00DB7709">
        <w:t>No</w:t>
      </w:r>
      <w:proofErr w:type="spellEnd"/>
      <w:r w:rsidRPr="00DB7709">
        <w:t xml:space="preserve">. 1. P. 124–134. URL: </w:t>
      </w:r>
      <w:hyperlink r:id="rId8" w:history="1">
        <w:r w:rsidRPr="00DB7709">
          <w:rPr>
            <w:rStyle w:val="a4"/>
          </w:rPr>
          <w:t>https://doi.org/10.22059/jitm.2023.90740</w:t>
        </w:r>
      </w:hyperlink>
    </w:p>
    <w:p w14:paraId="678F029F"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proofErr w:type="spellStart"/>
      <w:r w:rsidRPr="00DB7709">
        <w:t>Бубенець</w:t>
      </w:r>
      <w:proofErr w:type="spellEnd"/>
      <w:r w:rsidRPr="00DB7709">
        <w:t xml:space="preserve"> І. Г., </w:t>
      </w:r>
      <w:proofErr w:type="spellStart"/>
      <w:r w:rsidRPr="00DB7709">
        <w:t>Сломінцев</w:t>
      </w:r>
      <w:proofErr w:type="spellEnd"/>
      <w:r w:rsidRPr="00DB7709">
        <w:t xml:space="preserve"> Д. М. Сучасні аспекти цифрового маркетингу: основні показники ефективності // Бізнес </w:t>
      </w:r>
      <w:proofErr w:type="spellStart"/>
      <w:r w:rsidRPr="00DB7709">
        <w:t>Інформ</w:t>
      </w:r>
      <w:proofErr w:type="spellEnd"/>
      <w:r w:rsidRPr="00DB7709">
        <w:t xml:space="preserve">. 2022. № 11. С. 271–276. URL: </w:t>
      </w:r>
      <w:hyperlink r:id="rId9" w:history="1">
        <w:r w:rsidRPr="00DB7709">
          <w:rPr>
            <w:rStyle w:val="a4"/>
          </w:rPr>
          <w:t>https://doi.org/10.32983/2222-4459-2022-11-271-276</w:t>
        </w:r>
      </w:hyperlink>
    </w:p>
    <w:p w14:paraId="746473F6" w14:textId="77777777" w:rsidR="00DB35B0" w:rsidRPr="00DB7709" w:rsidRDefault="00DB35B0" w:rsidP="00AD0220">
      <w:pPr>
        <w:pStyle w:val="a5"/>
        <w:numPr>
          <w:ilvl w:val="0"/>
          <w:numId w:val="3"/>
        </w:numPr>
        <w:spacing w:before="0" w:beforeAutospacing="0" w:after="0" w:afterAutospacing="0" w:line="360" w:lineRule="auto"/>
        <w:ind w:left="0" w:firstLine="851"/>
        <w:jc w:val="both"/>
      </w:pPr>
      <w:r w:rsidRPr="00DB7709">
        <w:t xml:space="preserve">Дух В., Євтушенко Н. С. Стратегії управління охороною праці та виробничий контроль на підприємствах машинобудівного сектору [Електронний ресурс] // Проблеми та перспективи розвитку системи безпеки життєдіяльності : </w:t>
      </w:r>
      <w:proofErr w:type="spellStart"/>
      <w:r w:rsidRPr="00DB7709">
        <w:t>зб</w:t>
      </w:r>
      <w:proofErr w:type="spellEnd"/>
      <w:r w:rsidRPr="00DB7709">
        <w:t xml:space="preserve">. наук. праць 19-ї </w:t>
      </w:r>
      <w:proofErr w:type="spellStart"/>
      <w:r w:rsidRPr="00DB7709">
        <w:t>Міжнар</w:t>
      </w:r>
      <w:proofErr w:type="spellEnd"/>
      <w:r w:rsidRPr="00DB7709">
        <w:t>. наук.-</w:t>
      </w:r>
      <w:proofErr w:type="spellStart"/>
      <w:r w:rsidRPr="00DB7709">
        <w:t>практ</w:t>
      </w:r>
      <w:proofErr w:type="spellEnd"/>
      <w:r w:rsidRPr="00DB7709">
        <w:t xml:space="preserve">. </w:t>
      </w:r>
      <w:proofErr w:type="spellStart"/>
      <w:r w:rsidRPr="00DB7709">
        <w:t>конф</w:t>
      </w:r>
      <w:proofErr w:type="spellEnd"/>
      <w:r w:rsidRPr="00DB7709">
        <w:t xml:space="preserve">. молодих вчених, курсантів та студентів, 28–29 березня 2024 р. – Львів : ЛДУ БЖД, 2024. – С. 730–734. – URL: </w:t>
      </w:r>
      <w:hyperlink r:id="rId10" w:history="1">
        <w:r w:rsidRPr="00DB7709">
          <w:rPr>
            <w:rStyle w:val="a4"/>
          </w:rPr>
          <w:t>https://orcid.org/0000-0003-0217-3450</w:t>
        </w:r>
      </w:hyperlink>
    </w:p>
    <w:p w14:paraId="1F832CE0" w14:textId="77777777" w:rsidR="00547974" w:rsidRPr="00DB7709" w:rsidRDefault="00547974" w:rsidP="00547974">
      <w:pPr>
        <w:spacing w:line="240" w:lineRule="auto"/>
        <w:ind w:firstLine="720"/>
        <w:contextualSpacing/>
        <w:jc w:val="both"/>
        <w:rPr>
          <w:rFonts w:ascii="Times New Roman" w:hAnsi="Times New Roman" w:cs="Times New Roman"/>
          <w:sz w:val="24"/>
          <w:szCs w:val="24"/>
        </w:rPr>
      </w:pPr>
    </w:p>
    <w:sectPr w:rsidR="00547974" w:rsidRPr="00DB7709" w:rsidSect="00DB7709">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335C0"/>
    <w:multiLevelType w:val="hybridMultilevel"/>
    <w:tmpl w:val="9036D46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45510967"/>
    <w:multiLevelType w:val="hybridMultilevel"/>
    <w:tmpl w:val="9F087ABA"/>
    <w:lvl w:ilvl="0" w:tplc="6EC60956">
      <w:numFmt w:val="bullet"/>
      <w:lvlText w:val=""/>
      <w:lvlJc w:val="left"/>
      <w:pPr>
        <w:ind w:left="1104" w:hanging="384"/>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 w15:restartNumberingAfterBreak="0">
    <w:nsid w:val="5E7C7D16"/>
    <w:multiLevelType w:val="multilevel"/>
    <w:tmpl w:val="281E6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8F6"/>
    <w:rsid w:val="00006F9E"/>
    <w:rsid w:val="00015899"/>
    <w:rsid w:val="001A5B15"/>
    <w:rsid w:val="001D0EF2"/>
    <w:rsid w:val="001E0D01"/>
    <w:rsid w:val="002F38F6"/>
    <w:rsid w:val="00547974"/>
    <w:rsid w:val="006615C7"/>
    <w:rsid w:val="00AD0220"/>
    <w:rsid w:val="00B278F4"/>
    <w:rsid w:val="00DB35B0"/>
    <w:rsid w:val="00DB7709"/>
    <w:rsid w:val="00E050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7930C"/>
  <w15:chartTrackingRefBased/>
  <w15:docId w15:val="{E49BA9FA-CA9F-4F90-997F-D06025228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78F4"/>
    <w:pPr>
      <w:ind w:left="720"/>
      <w:contextualSpacing/>
    </w:pPr>
  </w:style>
  <w:style w:type="paragraph" w:customStyle="1" w:styleId="OCSukr">
    <w:name w:val="OCS_Ім’я_ukr"/>
    <w:basedOn w:val="a"/>
    <w:qFormat/>
    <w:rsid w:val="001D0EF2"/>
    <w:pPr>
      <w:spacing w:after="0" w:line="240" w:lineRule="auto"/>
      <w:jc w:val="right"/>
    </w:pPr>
    <w:rPr>
      <w:rFonts w:ascii="Times New Roman" w:eastAsia="Calibri" w:hAnsi="Times New Roman" w:cs="Times New Roman"/>
      <w:b/>
      <w:sz w:val="28"/>
      <w:szCs w:val="32"/>
    </w:rPr>
  </w:style>
  <w:style w:type="character" w:styleId="a4">
    <w:name w:val="Hyperlink"/>
    <w:basedOn w:val="a0"/>
    <w:uiPriority w:val="99"/>
    <w:unhideWhenUsed/>
    <w:rsid w:val="00015899"/>
    <w:rPr>
      <w:color w:val="0563C1" w:themeColor="hyperlink"/>
      <w:u w:val="single"/>
    </w:rPr>
  </w:style>
  <w:style w:type="paragraph" w:styleId="a5">
    <w:name w:val="Normal (Web)"/>
    <w:basedOn w:val="a"/>
    <w:uiPriority w:val="99"/>
    <w:semiHidden/>
    <w:unhideWhenUsed/>
    <w:rsid w:val="00DB35B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DB35B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821204">
      <w:bodyDiv w:val="1"/>
      <w:marLeft w:val="0"/>
      <w:marRight w:val="0"/>
      <w:marTop w:val="0"/>
      <w:marBottom w:val="0"/>
      <w:divBdr>
        <w:top w:val="none" w:sz="0" w:space="0" w:color="auto"/>
        <w:left w:val="none" w:sz="0" w:space="0" w:color="auto"/>
        <w:bottom w:val="none" w:sz="0" w:space="0" w:color="auto"/>
        <w:right w:val="none" w:sz="0" w:space="0" w:color="auto"/>
      </w:divBdr>
      <w:divsChild>
        <w:div w:id="1122193999">
          <w:marLeft w:val="0"/>
          <w:marRight w:val="0"/>
          <w:marTop w:val="0"/>
          <w:marBottom w:val="0"/>
          <w:divBdr>
            <w:top w:val="none" w:sz="0" w:space="0" w:color="auto"/>
            <w:left w:val="none" w:sz="0" w:space="0" w:color="auto"/>
            <w:bottom w:val="none" w:sz="0" w:space="0" w:color="auto"/>
            <w:right w:val="none" w:sz="0" w:space="0" w:color="auto"/>
          </w:divBdr>
          <w:divsChild>
            <w:div w:id="1667320525">
              <w:marLeft w:val="0"/>
              <w:marRight w:val="0"/>
              <w:marTop w:val="0"/>
              <w:marBottom w:val="225"/>
              <w:divBdr>
                <w:top w:val="none" w:sz="0" w:space="0" w:color="auto"/>
                <w:left w:val="none" w:sz="0" w:space="0" w:color="auto"/>
                <w:bottom w:val="none" w:sz="0" w:space="0" w:color="auto"/>
                <w:right w:val="none" w:sz="0" w:space="0" w:color="auto"/>
              </w:divBdr>
              <w:divsChild>
                <w:div w:id="160106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927343">
      <w:bodyDiv w:val="1"/>
      <w:marLeft w:val="0"/>
      <w:marRight w:val="0"/>
      <w:marTop w:val="0"/>
      <w:marBottom w:val="0"/>
      <w:divBdr>
        <w:top w:val="none" w:sz="0" w:space="0" w:color="auto"/>
        <w:left w:val="none" w:sz="0" w:space="0" w:color="auto"/>
        <w:bottom w:val="none" w:sz="0" w:space="0" w:color="auto"/>
        <w:right w:val="none" w:sz="0" w:space="0" w:color="auto"/>
      </w:divBdr>
      <w:divsChild>
        <w:div w:id="449127094">
          <w:marLeft w:val="0"/>
          <w:marRight w:val="0"/>
          <w:marTop w:val="0"/>
          <w:marBottom w:val="0"/>
          <w:divBdr>
            <w:top w:val="none" w:sz="0" w:space="0" w:color="auto"/>
            <w:left w:val="none" w:sz="0" w:space="0" w:color="auto"/>
            <w:bottom w:val="none" w:sz="0" w:space="0" w:color="auto"/>
            <w:right w:val="none" w:sz="0" w:space="0" w:color="auto"/>
          </w:divBdr>
          <w:divsChild>
            <w:div w:id="1339313892">
              <w:marLeft w:val="0"/>
              <w:marRight w:val="0"/>
              <w:marTop w:val="0"/>
              <w:marBottom w:val="0"/>
              <w:divBdr>
                <w:top w:val="none" w:sz="0" w:space="0" w:color="auto"/>
                <w:left w:val="none" w:sz="0" w:space="0" w:color="auto"/>
                <w:bottom w:val="none" w:sz="0" w:space="0" w:color="auto"/>
                <w:right w:val="none" w:sz="0" w:space="0" w:color="auto"/>
              </w:divBdr>
              <w:divsChild>
                <w:div w:id="1897163285">
                  <w:marLeft w:val="0"/>
                  <w:marRight w:val="0"/>
                  <w:marTop w:val="0"/>
                  <w:marBottom w:val="0"/>
                  <w:divBdr>
                    <w:top w:val="none" w:sz="0" w:space="0" w:color="auto"/>
                    <w:left w:val="none" w:sz="0" w:space="0" w:color="auto"/>
                    <w:bottom w:val="none" w:sz="0" w:space="0" w:color="auto"/>
                    <w:right w:val="none" w:sz="0" w:space="0" w:color="auto"/>
                  </w:divBdr>
                  <w:divsChild>
                    <w:div w:id="799493151">
                      <w:marLeft w:val="0"/>
                      <w:marRight w:val="0"/>
                      <w:marTop w:val="0"/>
                      <w:marBottom w:val="0"/>
                      <w:divBdr>
                        <w:top w:val="none" w:sz="0" w:space="0" w:color="auto"/>
                        <w:left w:val="none" w:sz="0" w:space="0" w:color="auto"/>
                        <w:bottom w:val="none" w:sz="0" w:space="0" w:color="auto"/>
                        <w:right w:val="none" w:sz="0" w:space="0" w:color="auto"/>
                      </w:divBdr>
                      <w:divsChild>
                        <w:div w:id="1633825861">
                          <w:marLeft w:val="0"/>
                          <w:marRight w:val="0"/>
                          <w:marTop w:val="0"/>
                          <w:marBottom w:val="0"/>
                          <w:divBdr>
                            <w:top w:val="none" w:sz="0" w:space="0" w:color="auto"/>
                            <w:left w:val="none" w:sz="0" w:space="0" w:color="auto"/>
                            <w:bottom w:val="none" w:sz="0" w:space="0" w:color="auto"/>
                            <w:right w:val="none" w:sz="0" w:space="0" w:color="auto"/>
                          </w:divBdr>
                          <w:divsChild>
                            <w:div w:id="1879126035">
                              <w:marLeft w:val="0"/>
                              <w:marRight w:val="0"/>
                              <w:marTop w:val="0"/>
                              <w:marBottom w:val="0"/>
                              <w:divBdr>
                                <w:top w:val="none" w:sz="0" w:space="0" w:color="auto"/>
                                <w:left w:val="none" w:sz="0" w:space="0" w:color="auto"/>
                                <w:bottom w:val="none" w:sz="0" w:space="0" w:color="auto"/>
                                <w:right w:val="none" w:sz="0" w:space="0" w:color="auto"/>
                              </w:divBdr>
                              <w:divsChild>
                                <w:div w:id="1813211586">
                                  <w:marLeft w:val="0"/>
                                  <w:marRight w:val="0"/>
                                  <w:marTop w:val="0"/>
                                  <w:marBottom w:val="0"/>
                                  <w:divBdr>
                                    <w:top w:val="none" w:sz="0" w:space="0" w:color="auto"/>
                                    <w:left w:val="none" w:sz="0" w:space="0" w:color="auto"/>
                                    <w:bottom w:val="none" w:sz="0" w:space="0" w:color="auto"/>
                                    <w:right w:val="none" w:sz="0" w:space="0" w:color="auto"/>
                                  </w:divBdr>
                                  <w:divsChild>
                                    <w:div w:id="207172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913875">
                          <w:marLeft w:val="0"/>
                          <w:marRight w:val="0"/>
                          <w:marTop w:val="0"/>
                          <w:marBottom w:val="0"/>
                          <w:divBdr>
                            <w:top w:val="none" w:sz="0" w:space="0" w:color="auto"/>
                            <w:left w:val="none" w:sz="0" w:space="0" w:color="auto"/>
                            <w:bottom w:val="none" w:sz="0" w:space="0" w:color="auto"/>
                            <w:right w:val="none" w:sz="0" w:space="0" w:color="auto"/>
                          </w:divBdr>
                          <w:divsChild>
                            <w:div w:id="1698197593">
                              <w:marLeft w:val="0"/>
                              <w:marRight w:val="0"/>
                              <w:marTop w:val="0"/>
                              <w:marBottom w:val="0"/>
                              <w:divBdr>
                                <w:top w:val="none" w:sz="0" w:space="0" w:color="auto"/>
                                <w:left w:val="none" w:sz="0" w:space="0" w:color="auto"/>
                                <w:bottom w:val="none" w:sz="0" w:space="0" w:color="auto"/>
                                <w:right w:val="none" w:sz="0" w:space="0" w:color="auto"/>
                              </w:divBdr>
                              <w:divsChild>
                                <w:div w:id="164450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56853057">
      <w:bodyDiv w:val="1"/>
      <w:marLeft w:val="0"/>
      <w:marRight w:val="0"/>
      <w:marTop w:val="0"/>
      <w:marBottom w:val="0"/>
      <w:divBdr>
        <w:top w:val="none" w:sz="0" w:space="0" w:color="auto"/>
        <w:left w:val="none" w:sz="0" w:space="0" w:color="auto"/>
        <w:bottom w:val="none" w:sz="0" w:space="0" w:color="auto"/>
        <w:right w:val="none" w:sz="0" w:space="0" w:color="auto"/>
      </w:divBdr>
    </w:div>
    <w:div w:id="1223364880">
      <w:bodyDiv w:val="1"/>
      <w:marLeft w:val="0"/>
      <w:marRight w:val="0"/>
      <w:marTop w:val="0"/>
      <w:marBottom w:val="0"/>
      <w:divBdr>
        <w:top w:val="none" w:sz="0" w:space="0" w:color="auto"/>
        <w:left w:val="none" w:sz="0" w:space="0" w:color="auto"/>
        <w:bottom w:val="none" w:sz="0" w:space="0" w:color="auto"/>
        <w:right w:val="none" w:sz="0" w:space="0" w:color="auto"/>
      </w:divBdr>
    </w:div>
    <w:div w:id="1463769987">
      <w:bodyDiv w:val="1"/>
      <w:marLeft w:val="0"/>
      <w:marRight w:val="0"/>
      <w:marTop w:val="0"/>
      <w:marBottom w:val="0"/>
      <w:divBdr>
        <w:top w:val="none" w:sz="0" w:space="0" w:color="auto"/>
        <w:left w:val="none" w:sz="0" w:space="0" w:color="auto"/>
        <w:bottom w:val="none" w:sz="0" w:space="0" w:color="auto"/>
        <w:right w:val="none" w:sz="0" w:space="0" w:color="auto"/>
      </w:divBdr>
    </w:div>
    <w:div w:id="1888370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2059/jitm.2023.90740" TargetMode="External"/><Relationship Id="rId3" Type="http://schemas.openxmlformats.org/officeDocument/2006/relationships/settings" Target="settings.xml"/><Relationship Id="rId7" Type="http://schemas.openxmlformats.org/officeDocument/2006/relationships/hyperlink" Target="https://doi.org/10.32782/2524-0072/2022-43-4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32782/2524-0072/2024-59-106" TargetMode="External"/><Relationship Id="rId11" Type="http://schemas.openxmlformats.org/officeDocument/2006/relationships/fontTable" Target="fontTable.xml"/><Relationship Id="rId5" Type="http://schemas.openxmlformats.org/officeDocument/2006/relationships/hyperlink" Target="https://doi.org/10.32782/2524-0072/2024-69-151" TargetMode="External"/><Relationship Id="rId10" Type="http://schemas.openxmlformats.org/officeDocument/2006/relationships/hyperlink" Target="https://orcid.org/0000-0003-0217-3450" TargetMode="External"/><Relationship Id="rId4" Type="http://schemas.openxmlformats.org/officeDocument/2006/relationships/webSettings" Target="webSettings.xml"/><Relationship Id="rId9" Type="http://schemas.openxmlformats.org/officeDocument/2006/relationships/hyperlink" Target="https://doi.org/10.32983/2222-4459-2022-11-271-27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6747</Words>
  <Characters>3847</Characters>
  <Application>Microsoft Office Word</Application>
  <DocSecurity>0</DocSecurity>
  <Lines>32</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НР</cp:lastModifiedBy>
  <cp:revision>3</cp:revision>
  <dcterms:created xsi:type="dcterms:W3CDTF">2025-04-08T10:02:00Z</dcterms:created>
  <dcterms:modified xsi:type="dcterms:W3CDTF">2025-04-08T10:03:00Z</dcterms:modified>
</cp:coreProperties>
</file>