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FA4CF" w14:textId="7A862097" w:rsidR="0070059D" w:rsidRPr="003C7891" w:rsidRDefault="003C7891"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cs="Times New Roman"/>
          <w:color w:val="000000" w:themeColor="text1"/>
          <w:szCs w:val="28"/>
          <w:shd w:val="clear" w:color="auto" w:fill="FFFFFF"/>
          <w:lang w:val="en-US"/>
        </w:rPr>
      </w:pPr>
      <w:r w:rsidRPr="003C7891">
        <w:rPr>
          <w:rFonts w:cs="Times New Roman"/>
          <w:szCs w:val="28"/>
          <w:shd w:val="clear" w:color="auto" w:fill="FFFFFF"/>
          <w:lang w:val="en-US"/>
        </w:rPr>
        <w:t>Economics, national and global economy, marketing, management</w:t>
      </w:r>
      <w:r w:rsidR="00E00996" w:rsidRPr="003C7891">
        <w:rPr>
          <w:rFonts w:cs="Times New Roman"/>
          <w:color w:val="000000" w:themeColor="text1"/>
          <w:szCs w:val="28"/>
          <w:shd w:val="clear" w:color="auto" w:fill="FFFFFF"/>
          <w:lang w:val="en-US"/>
        </w:rPr>
        <w:br/>
      </w:r>
    </w:p>
    <w:p w14:paraId="6DB69897" w14:textId="5411312E" w:rsidR="00202BAF" w:rsidRPr="003C7891"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b/>
          <w:bCs/>
          <w:color w:val="000000" w:themeColor="text1"/>
          <w:szCs w:val="28"/>
          <w:shd w:val="clear" w:color="auto" w:fill="FFFFFF"/>
          <w:lang w:val="en-US"/>
        </w:rPr>
        <w:t>Nechyporenko Tetiana</w:t>
      </w:r>
      <w:r w:rsidR="00E00996" w:rsidRPr="003C7891">
        <w:rPr>
          <w:rFonts w:cs="Times New Roman"/>
          <w:b/>
          <w:bCs/>
          <w:color w:val="000000" w:themeColor="text1"/>
          <w:szCs w:val="28"/>
          <w:shd w:val="clear" w:color="auto" w:fill="FFFFFF"/>
          <w:lang w:val="en-US"/>
        </w:rPr>
        <w:br/>
      </w:r>
      <w:r w:rsidRPr="003C7891">
        <w:rPr>
          <w:rFonts w:cs="Times New Roman"/>
          <w:color w:val="000000" w:themeColor="text1"/>
          <w:szCs w:val="28"/>
          <w:shd w:val="clear" w:color="auto" w:fill="FFFFFF"/>
          <w:lang w:val="en-US"/>
        </w:rPr>
        <w:t>PhD in Economics</w:t>
      </w:r>
    </w:p>
    <w:p w14:paraId="3EB778DB" w14:textId="77777777" w:rsidR="000C0F0F" w:rsidRPr="003C7891" w:rsidRDefault="000C0F0F" w:rsidP="000C0F0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color w:val="000000" w:themeColor="text1"/>
          <w:szCs w:val="28"/>
          <w:shd w:val="clear" w:color="auto" w:fill="FFFFFF"/>
          <w:lang w:val="en-US"/>
        </w:rPr>
        <w:t xml:space="preserve">ORCID ID: </w:t>
      </w:r>
      <w:r w:rsidRPr="003C7891">
        <w:rPr>
          <w:color w:val="000000" w:themeColor="text1"/>
          <w:szCs w:val="28"/>
          <w:lang w:val="en-US"/>
        </w:rPr>
        <w:t>0000-0002-0690-1534</w:t>
      </w:r>
    </w:p>
    <w:p w14:paraId="1108DAB6" w14:textId="77777777" w:rsidR="00202BAF" w:rsidRPr="003C7891"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color w:val="000000" w:themeColor="text1"/>
          <w:szCs w:val="28"/>
          <w:shd w:val="clear" w:color="auto" w:fill="FFFFFF"/>
          <w:lang w:val="en-US"/>
        </w:rPr>
        <w:t>Vinnytsia Technical Vocational College</w:t>
      </w:r>
    </w:p>
    <w:p w14:paraId="4D890F52" w14:textId="77777777" w:rsidR="000C0F0F" w:rsidRPr="003C7891" w:rsidRDefault="00E00996"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b/>
          <w:bCs/>
          <w:color w:val="000000" w:themeColor="text1"/>
          <w:sz w:val="10"/>
          <w:szCs w:val="10"/>
          <w:shd w:val="clear" w:color="auto" w:fill="FFFFFF"/>
          <w:lang w:val="en-US"/>
        </w:rPr>
      </w:pPr>
      <w:r w:rsidRPr="003C7891">
        <w:rPr>
          <w:rFonts w:cs="Times New Roman"/>
          <w:color w:val="000000" w:themeColor="text1"/>
          <w:szCs w:val="28"/>
          <w:shd w:val="clear" w:color="auto" w:fill="FFFFFF"/>
          <w:lang w:val="en-US"/>
        </w:rPr>
        <w:t>+380963749038, sittanya33@gmail.com</w:t>
      </w:r>
      <w:r w:rsidRPr="003C7891">
        <w:rPr>
          <w:rFonts w:cs="Times New Roman"/>
          <w:color w:val="000000" w:themeColor="text1"/>
          <w:szCs w:val="28"/>
          <w:shd w:val="clear" w:color="auto" w:fill="FFFFFF"/>
          <w:lang w:val="en-US"/>
        </w:rPr>
        <w:br/>
      </w:r>
    </w:p>
    <w:p w14:paraId="403846C3" w14:textId="5BF7D3E6" w:rsidR="004F29E5" w:rsidRPr="003C7891" w:rsidRDefault="0070059D"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b/>
          <w:bCs/>
          <w:color w:val="000000" w:themeColor="text1"/>
          <w:szCs w:val="28"/>
          <w:shd w:val="clear" w:color="auto" w:fill="FFFFFF"/>
          <w:lang w:val="en-US"/>
        </w:rPr>
      </w:pPr>
      <w:r w:rsidRPr="003C7891">
        <w:rPr>
          <w:rFonts w:cs="Times New Roman"/>
          <w:b/>
          <w:bCs/>
          <w:color w:val="000000" w:themeColor="text1"/>
          <w:szCs w:val="28"/>
          <w:shd w:val="clear" w:color="auto" w:fill="FFFFFF"/>
          <w:lang w:val="en-US"/>
        </w:rPr>
        <w:t>Musiatovska Ludmila</w:t>
      </w:r>
    </w:p>
    <w:p w14:paraId="21BEE5FD" w14:textId="77777777" w:rsidR="0070059D" w:rsidRPr="003C7891" w:rsidRDefault="0070059D"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color w:val="000000" w:themeColor="text1"/>
          <w:szCs w:val="28"/>
          <w:shd w:val="clear" w:color="auto" w:fill="FFFFFF"/>
          <w:lang w:val="en-US"/>
        </w:rPr>
        <w:t>Chief Accountant</w:t>
      </w:r>
    </w:p>
    <w:p w14:paraId="5DA47B11" w14:textId="77777777" w:rsidR="00202BAF" w:rsidRPr="003C7891"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color w:val="000000" w:themeColor="text1"/>
          <w:szCs w:val="28"/>
          <w:shd w:val="clear" w:color="auto" w:fill="FFFFFF"/>
          <w:lang w:val="en-US"/>
        </w:rPr>
        <w:t>Vinnytsia Technical Vocational College</w:t>
      </w:r>
    </w:p>
    <w:p w14:paraId="6CEEE3E8" w14:textId="75F04744" w:rsidR="00E00996" w:rsidRPr="003C7891" w:rsidRDefault="004F29E5"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00000" w:themeColor="text1"/>
          <w:szCs w:val="28"/>
          <w:shd w:val="clear" w:color="auto" w:fill="FFFFFF"/>
          <w:lang w:val="en-US"/>
        </w:rPr>
      </w:pPr>
      <w:r w:rsidRPr="003C7891">
        <w:rPr>
          <w:rFonts w:cs="Times New Roman"/>
          <w:color w:val="000000" w:themeColor="text1"/>
          <w:szCs w:val="28"/>
          <w:shd w:val="clear" w:color="auto" w:fill="FFFFFF"/>
          <w:lang w:val="en-US"/>
        </w:rPr>
        <w:t>+380679571214, ludmila.musiatovska@vtc.vn.ua</w:t>
      </w:r>
    </w:p>
    <w:p w14:paraId="7F9CA658" w14:textId="77777777" w:rsidR="004F29E5" w:rsidRPr="003C7891" w:rsidRDefault="004F29E5" w:rsidP="004F29E5">
      <w:pPr>
        <w:spacing w:after="0"/>
        <w:rPr>
          <w:rFonts w:cs="Times New Roman"/>
          <w:color w:val="000000" w:themeColor="text1"/>
          <w:szCs w:val="28"/>
          <w:shd w:val="clear" w:color="auto" w:fill="FFFFFF"/>
          <w:lang w:val="en-US"/>
        </w:rPr>
      </w:pPr>
    </w:p>
    <w:p w14:paraId="04A6D5F8" w14:textId="069D2BB5" w:rsidR="00271224" w:rsidRPr="003C7891" w:rsidRDefault="00271224" w:rsidP="0047151C">
      <w:pPr>
        <w:spacing w:after="0" w:line="360" w:lineRule="auto"/>
        <w:ind w:left="567"/>
        <w:jc w:val="center"/>
        <w:rPr>
          <w:rFonts w:cs="Times New Roman"/>
          <w:b/>
          <w:bCs/>
          <w:color w:val="000000" w:themeColor="text1"/>
          <w:szCs w:val="28"/>
          <w:shd w:val="clear" w:color="auto" w:fill="FFFFFF"/>
          <w:lang w:val="en-US"/>
        </w:rPr>
      </w:pPr>
      <w:r w:rsidRPr="003C7891">
        <w:rPr>
          <w:rFonts w:cs="Times New Roman"/>
          <w:b/>
          <w:bCs/>
          <w:color w:val="000000" w:themeColor="text1"/>
          <w:szCs w:val="28"/>
          <w:shd w:val="clear" w:color="auto" w:fill="FFFFFF"/>
          <w:lang w:val="en-US"/>
        </w:rPr>
        <w:t xml:space="preserve">FINANCIAL INCLUSION AND BANK SUSTAINABILITY </w:t>
      </w:r>
      <w:r w:rsidR="003C7891">
        <w:rPr>
          <w:rFonts w:cs="Times New Roman"/>
          <w:b/>
          <w:bCs/>
          <w:color w:val="000000" w:themeColor="text1"/>
          <w:szCs w:val="28"/>
          <w:shd w:val="clear" w:color="auto" w:fill="FFFFFF"/>
          <w:lang w:val="en-US"/>
        </w:rPr>
        <w:br/>
      </w:r>
      <w:r w:rsidRPr="003C7891">
        <w:rPr>
          <w:rFonts w:cs="Times New Roman"/>
          <w:b/>
          <w:bCs/>
          <w:color w:val="000000" w:themeColor="text1"/>
          <w:szCs w:val="28"/>
          <w:shd w:val="clear" w:color="auto" w:fill="FFFFFF"/>
          <w:lang w:val="en-US"/>
        </w:rPr>
        <w:t>IN UKRAINE: CURRENT CHALLENGES AND PROSPECTS</w:t>
      </w:r>
    </w:p>
    <w:p w14:paraId="5FF03BC0" w14:textId="381CEB77" w:rsidR="00271224" w:rsidRPr="003C7891" w:rsidRDefault="00271224" w:rsidP="00271224">
      <w:pPr>
        <w:pStyle w:val="a9"/>
        <w:spacing w:before="0" w:beforeAutospacing="0" w:after="0" w:afterAutospacing="0"/>
        <w:jc w:val="both"/>
        <w:rPr>
          <w:rStyle w:val="a3"/>
          <w:b w:val="0"/>
          <w:bCs w:val="0"/>
          <w:i/>
          <w:iCs/>
          <w:color w:val="000000" w:themeColor="text1"/>
          <w:sz w:val="28"/>
          <w:szCs w:val="28"/>
          <w:lang w:val="en-US"/>
        </w:rPr>
      </w:pPr>
      <w:r w:rsidRPr="003C7891">
        <w:rPr>
          <w:rStyle w:val="a3"/>
          <w:i/>
          <w:iCs/>
          <w:color w:val="000000" w:themeColor="text1"/>
          <w:sz w:val="28"/>
          <w:szCs w:val="28"/>
          <w:lang w:val="en-US"/>
        </w:rPr>
        <w:t xml:space="preserve">Abstract. </w:t>
      </w:r>
      <w:r w:rsidRPr="003C7891">
        <w:rPr>
          <w:rStyle w:val="a3"/>
          <w:b w:val="0"/>
          <w:bCs w:val="0"/>
          <w:i/>
          <w:iCs/>
          <w:color w:val="000000" w:themeColor="text1"/>
          <w:sz w:val="28"/>
          <w:szCs w:val="28"/>
          <w:lang w:val="en-US"/>
        </w:rPr>
        <w:t xml:space="preserve">The article examines the role of financial inclusion in ensuring the sustainability of the banking system of Ukraine in the context of modern challenges. It is noted that financial inclusion is a factor that increases the availability of financial services for various segments of the population, including low-income and rural residents. The author analyses the trends in the introduction of digital technologies that should expand access to banking services and improve customer service. The main challenges faced by the Ukrainian banking system include the insufficient level of financial literacy of the population, high costs of introducing new technologies and risks associated with economic instability. The article </w:t>
      </w:r>
      <w:r w:rsidR="003C7891" w:rsidRPr="003C7891">
        <w:rPr>
          <w:rStyle w:val="a3"/>
          <w:b w:val="0"/>
          <w:bCs w:val="0"/>
          <w:i/>
          <w:iCs/>
          <w:color w:val="000000" w:themeColor="text1"/>
          <w:sz w:val="28"/>
          <w:szCs w:val="28"/>
          <w:lang w:val="en-US"/>
        </w:rPr>
        <w:t>emphasizes</w:t>
      </w:r>
      <w:r w:rsidRPr="003C7891">
        <w:rPr>
          <w:rStyle w:val="a3"/>
          <w:b w:val="0"/>
          <w:bCs w:val="0"/>
          <w:i/>
          <w:iCs/>
          <w:color w:val="000000" w:themeColor="text1"/>
          <w:sz w:val="28"/>
          <w:szCs w:val="28"/>
          <w:lang w:val="en-US"/>
        </w:rPr>
        <w:t xml:space="preserve"> the importance of developing a financial education program that helps to increase the level of financial literacy and involve the population in the financial system. It is substantiated that ensuring the sustainability of banks in Ukraine requires the integration of financial inclusion strategies into the general policy of the banking sector, with the involvement of strengthening customer confidence and increasing their financial security. The article also examines the prospects for the development of financial inclusion in Ukraine and its impact on the stability of the financial system, and offers recommendations for improving regulatory mechanisms to support this process.</w:t>
      </w:r>
    </w:p>
    <w:p w14:paraId="1750BB64" w14:textId="77777777" w:rsidR="00271224" w:rsidRPr="003C7891" w:rsidRDefault="00271224" w:rsidP="00271224">
      <w:pPr>
        <w:spacing w:before="60" w:after="60"/>
        <w:ind w:firstLine="567"/>
        <w:jc w:val="both"/>
        <w:rPr>
          <w:rStyle w:val="a3"/>
          <w:rFonts w:eastAsia="Times New Roman" w:cs="Times New Roman"/>
          <w:b w:val="0"/>
          <w:bCs w:val="0"/>
          <w:i/>
          <w:iCs/>
          <w:color w:val="000000" w:themeColor="text1"/>
          <w:szCs w:val="28"/>
          <w:lang w:val="en-US" w:eastAsia="uk-UA"/>
        </w:rPr>
      </w:pPr>
      <w:r w:rsidRPr="003C7891">
        <w:rPr>
          <w:rStyle w:val="a3"/>
          <w:rFonts w:eastAsia="Times New Roman" w:cs="Times New Roman"/>
          <w:i/>
          <w:iCs/>
          <w:color w:val="000000" w:themeColor="text1"/>
          <w:szCs w:val="28"/>
          <w:lang w:val="en-US" w:eastAsia="uk-UA"/>
        </w:rPr>
        <w:t xml:space="preserve">Keywords: </w:t>
      </w:r>
      <w:r w:rsidRPr="003C7891">
        <w:rPr>
          <w:rStyle w:val="a3"/>
          <w:rFonts w:eastAsia="Times New Roman" w:cs="Times New Roman"/>
          <w:b w:val="0"/>
          <w:bCs w:val="0"/>
          <w:i/>
          <w:iCs/>
          <w:color w:val="000000" w:themeColor="text1"/>
          <w:szCs w:val="28"/>
          <w:lang w:val="en-US" w:eastAsia="uk-UA"/>
        </w:rPr>
        <w:t>financial inclusion, bank sustainability, financial literacy, access to financial services, digital technologies</w:t>
      </w:r>
    </w:p>
    <w:p w14:paraId="7488F6E4" w14:textId="77777777" w:rsidR="00271224" w:rsidRPr="003C7891" w:rsidRDefault="00271224" w:rsidP="000C0F0F">
      <w:pPr>
        <w:spacing w:after="0" w:line="360" w:lineRule="auto"/>
        <w:ind w:firstLine="567"/>
        <w:jc w:val="both"/>
        <w:rPr>
          <w:color w:val="000000" w:themeColor="text1"/>
          <w:szCs w:val="28"/>
          <w:lang w:val="en-US"/>
        </w:rPr>
      </w:pPr>
    </w:p>
    <w:p w14:paraId="313EFECC" w14:textId="2857D119" w:rsidR="00271224" w:rsidRPr="003C7891" w:rsidRDefault="00271224" w:rsidP="000C0F0F">
      <w:pPr>
        <w:spacing w:after="0" w:line="360" w:lineRule="auto"/>
        <w:ind w:firstLine="567"/>
        <w:jc w:val="both"/>
        <w:rPr>
          <w:color w:val="000000" w:themeColor="text1"/>
          <w:lang w:val="en-US"/>
        </w:rPr>
      </w:pPr>
      <w:r w:rsidRPr="003C7891">
        <w:rPr>
          <w:color w:val="000000" w:themeColor="text1"/>
          <w:lang w:val="en-US"/>
        </w:rPr>
        <w:t xml:space="preserve">Financial inclusion, i.e. ensuring access to financial services for all segments of the population and their effective use, is becoming increasingly important in the modern world. In the context of </w:t>
      </w:r>
      <w:r w:rsidRPr="003C7891">
        <w:rPr>
          <w:color w:val="000000" w:themeColor="text1"/>
          <w:lang w:val="en-US"/>
        </w:rPr>
        <w:t>globalization</w:t>
      </w:r>
      <w:r w:rsidRPr="003C7891">
        <w:rPr>
          <w:color w:val="000000" w:themeColor="text1"/>
          <w:lang w:val="en-US"/>
        </w:rPr>
        <w:t xml:space="preserve"> and technological progress, financial services are no longer the prerogative of the wealthy, but are a necessity for the majority of people, as they allow them to make payments, save money, obtain loans and invest.</w:t>
      </w:r>
      <w:r w:rsidRPr="003C7891">
        <w:rPr>
          <w:color w:val="000000" w:themeColor="text1"/>
          <w:lang w:val="en-US"/>
        </w:rPr>
        <w:t xml:space="preserve"> </w:t>
      </w:r>
      <w:r w:rsidRPr="003C7891">
        <w:rPr>
          <w:color w:val="000000" w:themeColor="text1"/>
          <w:lang w:val="en-US"/>
        </w:rPr>
        <w:t xml:space="preserve">Financial inclusion is a key factor in overcoming poverty, stimulating </w:t>
      </w:r>
      <w:r w:rsidRPr="003C7891">
        <w:rPr>
          <w:color w:val="000000" w:themeColor="text1"/>
          <w:lang w:val="en-US"/>
        </w:rPr>
        <w:lastRenderedPageBreak/>
        <w:t>economic growth and improving the welfare of the population. In addition, financial inclusion plays an important role in the stability of the financial system. Through financial inclusion, the economy becomes more dynamic as entrepreneurs gain access to finance and consumers are able to manage their finances more effectively.</w:t>
      </w:r>
    </w:p>
    <w:p w14:paraId="0471A729" w14:textId="091FD5CF" w:rsidR="00271224" w:rsidRPr="003C7891" w:rsidRDefault="00271224" w:rsidP="000C0F0F">
      <w:pPr>
        <w:spacing w:after="0" w:line="360" w:lineRule="auto"/>
        <w:ind w:firstLine="567"/>
        <w:jc w:val="both"/>
        <w:rPr>
          <w:color w:val="000000" w:themeColor="text1"/>
          <w:lang w:val="en-US"/>
        </w:rPr>
      </w:pPr>
      <w:r w:rsidRPr="00271224">
        <w:rPr>
          <w:color w:val="000000" w:themeColor="text1"/>
          <w:lang w:val="en-US"/>
        </w:rPr>
        <w:t>Inclusion is a process of increasing the degree of participation of all citizens in society.</w:t>
      </w:r>
      <w:r w:rsidR="00B222F1" w:rsidRPr="003C7891">
        <w:rPr>
          <w:color w:val="000000" w:themeColor="text1"/>
          <w:lang w:val="en-US"/>
        </w:rPr>
        <w:t xml:space="preserve"> </w:t>
      </w:r>
      <w:r w:rsidRPr="003C7891">
        <w:rPr>
          <w:color w:val="000000" w:themeColor="text1"/>
          <w:lang w:val="en-US"/>
        </w:rPr>
        <w:t>The concept of "inclusion" is identical to the concept of "integration". Financial inclusion implies, on the one hand, the spread of financial services, their diversity and accessibility to all, and, on the other hand, an increase in the number of people involved in financial services, their coverage of all segments of the population, citizens, entrepreneurs, and institutions. According to financial experts [1], financial inclusion covers three areas: accessibility of financial services; financial literacy; and protection of user rights.</w:t>
      </w:r>
    </w:p>
    <w:p w14:paraId="56D6642C" w14:textId="77777777" w:rsidR="00271224" w:rsidRPr="003C7891" w:rsidRDefault="00271224" w:rsidP="00B222F1">
      <w:pPr>
        <w:spacing w:after="0" w:line="360" w:lineRule="auto"/>
        <w:ind w:firstLine="567"/>
        <w:jc w:val="both"/>
        <w:rPr>
          <w:color w:val="000000" w:themeColor="text1"/>
          <w:lang w:val="en-US"/>
        </w:rPr>
      </w:pPr>
      <w:r w:rsidRPr="003C7891">
        <w:rPr>
          <w:color w:val="000000" w:themeColor="text1"/>
          <w:lang w:val="en-US"/>
        </w:rPr>
        <w:t>The issue of financial inclusion is the subject of active research by both domestic and foreign scholars. In particular, O. Pakhnenko, S. Naumenkova, O. Vernei, D. Gladkykh, N. Zakharchenko, and others have made a significant contribution to the development of methodology and practice of solving these problems. However, given the value of the works of scholars, many issues remain controversial, which is why the research topic was chosen.</w:t>
      </w:r>
      <w:r w:rsidRPr="003C7891">
        <w:rPr>
          <w:color w:val="000000" w:themeColor="text1"/>
          <w:lang w:val="en-US"/>
        </w:rPr>
        <w:t xml:space="preserve"> </w:t>
      </w:r>
    </w:p>
    <w:p w14:paraId="7FEFF218" w14:textId="77777777" w:rsidR="00271224" w:rsidRPr="003C7891" w:rsidRDefault="00271224" w:rsidP="00271224">
      <w:pPr>
        <w:spacing w:after="0" w:line="360" w:lineRule="auto"/>
        <w:ind w:firstLine="567"/>
        <w:jc w:val="both"/>
        <w:rPr>
          <w:color w:val="000000" w:themeColor="text1"/>
          <w:lang w:val="en-US"/>
        </w:rPr>
      </w:pPr>
      <w:r w:rsidRPr="003C7891">
        <w:rPr>
          <w:color w:val="000000" w:themeColor="text1"/>
          <w:lang w:val="en-US"/>
        </w:rPr>
        <w:t>Financial inclusion is one of the priority areas for the development of Ukraine's financial sector, as evidenced by the Financial Sector Development Strategy until 2025. The Strategy envisages achieving the following key goals: ensuring access to financial services for all segments of the population, increasing financial literacy, stimulating the development of digital financial services, protecting consumer rights and integrating the Ukrainian financial market into the international space. Its priorities include:</w:t>
      </w:r>
    </w:p>
    <w:p w14:paraId="599F4046" w14:textId="7CFDB9EB" w:rsidR="00370699" w:rsidRPr="003C7891" w:rsidRDefault="00271224" w:rsidP="00370699">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expanding access to basic financial services for all segments of the population, especially vulnerable groups</w:t>
      </w:r>
      <w:r w:rsidR="00370699" w:rsidRPr="003C7891">
        <w:rPr>
          <w:color w:val="000000" w:themeColor="text1"/>
          <w:lang w:val="en-US"/>
        </w:rPr>
        <w:t xml:space="preserve">; </w:t>
      </w:r>
    </w:p>
    <w:p w14:paraId="1BB64D5E" w14:textId="399FCDED" w:rsidR="00370699" w:rsidRPr="003C7891" w:rsidRDefault="00271224" w:rsidP="00370699">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raising the level of financial awareness of citizens for the effective use of financial instruments</w:t>
      </w:r>
      <w:r w:rsidR="00370699" w:rsidRPr="003C7891">
        <w:rPr>
          <w:color w:val="000000" w:themeColor="text1"/>
          <w:lang w:val="en-US"/>
        </w:rPr>
        <w:t xml:space="preserve">; </w:t>
      </w:r>
    </w:p>
    <w:p w14:paraId="3C044B07" w14:textId="6AC95E87" w:rsidR="00370699" w:rsidRPr="003C7891" w:rsidRDefault="00271224" w:rsidP="00370699">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lastRenderedPageBreak/>
        <w:t>stimulating innovation in the financial sector through the active use of digital technologies</w:t>
      </w:r>
      <w:r w:rsidR="00370699" w:rsidRPr="003C7891">
        <w:rPr>
          <w:color w:val="000000" w:themeColor="text1"/>
          <w:lang w:val="en-US"/>
        </w:rPr>
        <w:t xml:space="preserve">; </w:t>
      </w:r>
    </w:p>
    <w:p w14:paraId="46B1B8B4" w14:textId="69D4A50F" w:rsidR="00370699" w:rsidRPr="003C7891" w:rsidRDefault="00271224" w:rsidP="00370699">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protecting the rights of financial services consumers and ensuring transparency of their provision</w:t>
      </w:r>
      <w:r w:rsidR="00370699" w:rsidRPr="003C7891">
        <w:rPr>
          <w:color w:val="000000" w:themeColor="text1"/>
          <w:lang w:val="en-US"/>
        </w:rPr>
        <w:t xml:space="preserve">; </w:t>
      </w:r>
    </w:p>
    <w:p w14:paraId="0396C247" w14:textId="65507F34" w:rsidR="00370699" w:rsidRPr="003C7891" w:rsidRDefault="00271224" w:rsidP="00370699">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i</w:t>
      </w:r>
      <w:r w:rsidRPr="003C7891">
        <w:rPr>
          <w:color w:val="000000" w:themeColor="text1"/>
          <w:lang w:val="en-US"/>
        </w:rPr>
        <w:t>ntegration of the Ukrainian financial market into the global context</w:t>
      </w:r>
      <w:r w:rsidRPr="003C7891">
        <w:rPr>
          <w:color w:val="000000" w:themeColor="text1"/>
          <w:lang w:val="en-US"/>
        </w:rPr>
        <w:t xml:space="preserve"> </w:t>
      </w:r>
      <w:r w:rsidR="00370699" w:rsidRPr="003C7891">
        <w:rPr>
          <w:color w:val="000000" w:themeColor="text1"/>
          <w:lang w:val="en-US"/>
        </w:rPr>
        <w:t>[</w:t>
      </w:r>
      <w:r w:rsidR="00B93344" w:rsidRPr="003C7891">
        <w:rPr>
          <w:color w:val="000000" w:themeColor="text1"/>
          <w:lang w:val="en-US"/>
        </w:rPr>
        <w:t>9</w:t>
      </w:r>
      <w:r w:rsidR="00370699" w:rsidRPr="003C7891">
        <w:rPr>
          <w:color w:val="000000" w:themeColor="text1"/>
          <w:lang w:val="en-US"/>
        </w:rPr>
        <w:t>].</w:t>
      </w:r>
    </w:p>
    <w:p w14:paraId="7ADE92EE" w14:textId="6E7AE56A" w:rsidR="00271224" w:rsidRPr="003C7891" w:rsidRDefault="00271224" w:rsidP="00B222F1">
      <w:pPr>
        <w:spacing w:after="0" w:line="360" w:lineRule="auto"/>
        <w:ind w:firstLine="567"/>
        <w:jc w:val="both"/>
        <w:rPr>
          <w:color w:val="000000" w:themeColor="text1"/>
          <w:lang w:val="en-US"/>
        </w:rPr>
      </w:pPr>
      <w:r w:rsidRPr="003C7891">
        <w:rPr>
          <w:color w:val="000000" w:themeColor="text1"/>
          <w:lang w:val="en-US"/>
        </w:rPr>
        <w:t>The importance of financial inclusion for economic growth and societal well-being is unequivocal. However, for a financial inclusion system to work effectively, banks must be financially sound. This issue becomes especially acute during economic crises.</w:t>
      </w:r>
      <w:r w:rsidRPr="003C7891">
        <w:rPr>
          <w:color w:val="000000" w:themeColor="text1"/>
          <w:lang w:val="en-US"/>
        </w:rPr>
        <w:t xml:space="preserve"> </w:t>
      </w:r>
      <w:r w:rsidRPr="003C7891">
        <w:rPr>
          <w:color w:val="000000" w:themeColor="text1"/>
          <w:lang w:val="en-US"/>
        </w:rPr>
        <w:t>It is worth noting that the financial stability of banks is a kind of foundation on which the entire financial system is built, because when banks are financially stable, they can continue to provide financial services to customers even in difficult times. Accordingly, the financial stability of a bank is an essential condition for the stable functioning of both an individual bank and the entire banking system. Studies by domestic and foreign scholars, including S. Volska, Y. Dovgal, R. Chamara, R. Schiller, V. Panteleev, and others, show the importance of developing effective tools for assessing and ensuring the financial stability of banks.</w:t>
      </w:r>
    </w:p>
    <w:p w14:paraId="4C7F18D5" w14:textId="6DFE6928" w:rsidR="00271224" w:rsidRPr="003C7891" w:rsidRDefault="00271224" w:rsidP="00271224">
      <w:pPr>
        <w:spacing w:after="0" w:line="360" w:lineRule="auto"/>
        <w:ind w:firstLine="567"/>
        <w:jc w:val="both"/>
        <w:rPr>
          <w:color w:val="000000" w:themeColor="text1"/>
          <w:lang w:val="en-US"/>
        </w:rPr>
      </w:pPr>
      <w:r w:rsidRPr="003C7891">
        <w:rPr>
          <w:color w:val="000000" w:themeColor="text1"/>
          <w:lang w:val="en-US"/>
        </w:rPr>
        <w:t>In times of crisis, the financial resilience of banks becomes even more critical. When the economy faces shocks such as pandemics, wars or natural disasters, banks are under considerable pressure. Loans may become non-performing, deposits may be withdrawn, and profitability may decline. If banks are not sufficiently resilient, they can fail, which can lead to a chain reaction and negatively affect the entire economy, so there is a great deal of attention around the world to strengthening the financial resilience of banks and developing effective mechanisms to support them in times of crisis.</w:t>
      </w:r>
      <w:r w:rsidRPr="003C7891">
        <w:rPr>
          <w:color w:val="000000" w:themeColor="text1"/>
          <w:lang w:val="en-US"/>
        </w:rPr>
        <w:t xml:space="preserve"> </w:t>
      </w:r>
      <w:r w:rsidRPr="003C7891">
        <w:rPr>
          <w:color w:val="000000" w:themeColor="text1"/>
          <w:lang w:val="en-US"/>
        </w:rPr>
        <w:t>Financial stability of a bank is a complex characteristic that covers the ability to maintain the required level of liquidity, effectively manage capital and risks, and respond quickly to external and internal threats. It ensures that the bank can fulfil its obligations to customers without interruption in difficult market conditions. A financially sound bank should:</w:t>
      </w:r>
    </w:p>
    <w:p w14:paraId="4477DC2A" w14:textId="49857260"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maintain an optimal level of liquidity to meet short-term obligations</w:t>
      </w:r>
      <w:r w:rsidR="0047151C" w:rsidRPr="003C7891">
        <w:rPr>
          <w:color w:val="000000" w:themeColor="text1"/>
          <w:lang w:val="en-US"/>
        </w:rPr>
        <w:t>;</w:t>
      </w:r>
    </w:p>
    <w:p w14:paraId="45461D63" w14:textId="21979F78"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ensure that capital is sufficient to cover unforeseen losses</w:t>
      </w:r>
      <w:r w:rsidR="0047151C" w:rsidRPr="003C7891">
        <w:rPr>
          <w:color w:val="000000" w:themeColor="text1"/>
          <w:lang w:val="en-US"/>
        </w:rPr>
        <w:t>;</w:t>
      </w:r>
    </w:p>
    <w:p w14:paraId="2DE2288C" w14:textId="0CC8A6B4"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lastRenderedPageBreak/>
        <w:t>adapt to economic fluctuations, crises or changes in the regulatory environment</w:t>
      </w:r>
      <w:r w:rsidR="0047151C" w:rsidRPr="003C7891">
        <w:rPr>
          <w:color w:val="000000" w:themeColor="text1"/>
          <w:lang w:val="en-US"/>
        </w:rPr>
        <w:t>.</w:t>
      </w:r>
    </w:p>
    <w:p w14:paraId="067E5CDF" w14:textId="1059BD0B" w:rsidR="0047151C" w:rsidRPr="003C7891" w:rsidRDefault="00271224" w:rsidP="0047151C">
      <w:pPr>
        <w:spacing w:after="0" w:line="360" w:lineRule="auto"/>
        <w:ind w:firstLine="567"/>
        <w:jc w:val="both"/>
        <w:rPr>
          <w:color w:val="000000" w:themeColor="text1"/>
          <w:lang w:val="en-US"/>
        </w:rPr>
      </w:pPr>
      <w:r w:rsidRPr="003C7891">
        <w:rPr>
          <w:color w:val="000000" w:themeColor="text1"/>
          <w:lang w:val="en-US"/>
        </w:rPr>
        <w:t>Scientists [4; 7] include the following key factors influencing the financial stability of the domestic banking sector</w:t>
      </w:r>
      <w:r w:rsidR="0047151C" w:rsidRPr="003C7891">
        <w:rPr>
          <w:color w:val="000000" w:themeColor="text1"/>
          <w:lang w:val="en-US"/>
        </w:rPr>
        <w:t xml:space="preserve">: </w:t>
      </w:r>
    </w:p>
    <w:p w14:paraId="38BD9AF9" w14:textId="62DB8D58"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political and economic instability</w:t>
      </w:r>
      <w:r w:rsidR="0047151C" w:rsidRPr="003C7891">
        <w:rPr>
          <w:color w:val="000000" w:themeColor="text1"/>
          <w:lang w:val="en-US"/>
        </w:rPr>
        <w:t xml:space="preserve">; </w:t>
      </w:r>
    </w:p>
    <w:p w14:paraId="5CEF12A1" w14:textId="0FFF1E92"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devaluation of the national currency</w:t>
      </w:r>
      <w:r w:rsidR="0047151C" w:rsidRPr="003C7891">
        <w:rPr>
          <w:color w:val="000000" w:themeColor="text1"/>
          <w:lang w:val="en-US"/>
        </w:rPr>
        <w:t xml:space="preserve">; </w:t>
      </w:r>
    </w:p>
    <w:p w14:paraId="5AAA91F7" w14:textId="441DE918"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growing distrust of banks</w:t>
      </w:r>
      <w:r w:rsidR="0047151C" w:rsidRPr="003C7891">
        <w:rPr>
          <w:color w:val="000000" w:themeColor="text1"/>
          <w:lang w:val="en-US"/>
        </w:rPr>
        <w:t xml:space="preserve">; </w:t>
      </w:r>
    </w:p>
    <w:p w14:paraId="5CAE84A6" w14:textId="4B07361D"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contradictory mechanism of bank refinancing</w:t>
      </w:r>
      <w:r w:rsidR="0047151C" w:rsidRPr="003C7891">
        <w:rPr>
          <w:color w:val="000000" w:themeColor="text1"/>
          <w:lang w:val="en-US"/>
        </w:rPr>
        <w:t xml:space="preserve">; </w:t>
      </w:r>
    </w:p>
    <w:p w14:paraId="2E23BEEE" w14:textId="62333E3D"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rise in the cost of credit resources</w:t>
      </w:r>
      <w:r w:rsidR="0047151C" w:rsidRPr="003C7891">
        <w:rPr>
          <w:color w:val="000000" w:themeColor="text1"/>
          <w:lang w:val="en-US"/>
        </w:rPr>
        <w:t xml:space="preserve">; </w:t>
      </w:r>
    </w:p>
    <w:p w14:paraId="2C607625" w14:textId="13745798"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deterioration in loan portfolio quality</w:t>
      </w:r>
      <w:r w:rsidR="0047151C" w:rsidRPr="003C7891">
        <w:rPr>
          <w:color w:val="000000" w:themeColor="text1"/>
          <w:lang w:val="en-US"/>
        </w:rPr>
        <w:t xml:space="preserve">; </w:t>
      </w:r>
    </w:p>
    <w:p w14:paraId="0BA14070" w14:textId="04CD5343" w:rsidR="0047151C" w:rsidRPr="003C7891" w:rsidRDefault="00271224" w:rsidP="0047151C">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low level of risk management in banking institutions, etc.</w:t>
      </w:r>
      <w:r w:rsidR="0047151C" w:rsidRPr="003C7891">
        <w:rPr>
          <w:color w:val="000000" w:themeColor="text1"/>
          <w:lang w:val="en-US"/>
        </w:rPr>
        <w:t>.</w:t>
      </w:r>
    </w:p>
    <w:p w14:paraId="46F98E2A" w14:textId="3B94EEB4" w:rsidR="00BC7402" w:rsidRPr="003C7891" w:rsidRDefault="00271224" w:rsidP="00BC7402">
      <w:pPr>
        <w:spacing w:after="0" w:line="360" w:lineRule="auto"/>
        <w:ind w:firstLine="567"/>
        <w:jc w:val="both"/>
        <w:rPr>
          <w:color w:val="000000" w:themeColor="text1"/>
          <w:lang w:val="en-US"/>
        </w:rPr>
      </w:pPr>
      <w:r w:rsidRPr="003C7891">
        <w:rPr>
          <w:color w:val="000000" w:themeColor="text1"/>
          <w:lang w:val="en-US"/>
        </w:rPr>
        <w:t>In today's environment, the integration of banking services into various spheres of life contributes not only to improving financial literacy but also to reducing social tensions, which is an important component of the country's stability. The main aspects of the impact of access to banking services include</w:t>
      </w:r>
      <w:r w:rsidR="00BC7402" w:rsidRPr="003C7891">
        <w:rPr>
          <w:color w:val="000000" w:themeColor="text1"/>
          <w:lang w:val="en-US"/>
        </w:rPr>
        <w:t>:</w:t>
      </w:r>
    </w:p>
    <w:p w14:paraId="6ECFC4E9" w14:textId="24A3E17C" w:rsidR="00BC7402" w:rsidRPr="003C7891" w:rsidRDefault="00271224" w:rsidP="00BC7402">
      <w:pPr>
        <w:pStyle w:val="a7"/>
        <w:numPr>
          <w:ilvl w:val="0"/>
          <w:numId w:val="5"/>
        </w:numPr>
        <w:spacing w:after="0" w:line="360" w:lineRule="auto"/>
        <w:jc w:val="both"/>
        <w:rPr>
          <w:color w:val="000000" w:themeColor="text1"/>
          <w:lang w:val="en-US"/>
        </w:rPr>
      </w:pPr>
      <w:r w:rsidRPr="003C7891">
        <w:rPr>
          <w:color w:val="000000" w:themeColor="text1"/>
          <w:lang w:val="en-US"/>
        </w:rPr>
        <w:t>Economic development</w:t>
      </w:r>
      <w:r w:rsidR="00BC7402" w:rsidRPr="003C7891">
        <w:rPr>
          <w:color w:val="000000" w:themeColor="text1"/>
          <w:lang w:val="en-US"/>
        </w:rPr>
        <w:t>:</w:t>
      </w:r>
    </w:p>
    <w:p w14:paraId="33C20ED0" w14:textId="1AE029AB"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facilitating access to credit resources</w:t>
      </w:r>
      <w:r w:rsidR="00BC7402" w:rsidRPr="003C7891">
        <w:rPr>
          <w:color w:val="000000" w:themeColor="text1"/>
          <w:lang w:val="en-US"/>
        </w:rPr>
        <w:t>;</w:t>
      </w:r>
    </w:p>
    <w:p w14:paraId="36BF1841" w14:textId="2854C5B0"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stimulating entrepreneurship through microcredit and support for small and medium-sized enterprises (SMEs)</w:t>
      </w:r>
      <w:r w:rsidR="00BC7402" w:rsidRPr="003C7891">
        <w:rPr>
          <w:color w:val="000000" w:themeColor="text1"/>
          <w:lang w:val="en-US"/>
        </w:rPr>
        <w:t>;</w:t>
      </w:r>
    </w:p>
    <w:p w14:paraId="5C125585" w14:textId="3222A82D"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accelerating capital turnover through payment services and digital platforms</w:t>
      </w:r>
      <w:r w:rsidR="00BC7402" w:rsidRPr="003C7891">
        <w:rPr>
          <w:color w:val="000000" w:themeColor="text1"/>
          <w:lang w:val="en-US"/>
        </w:rPr>
        <w:t>.</w:t>
      </w:r>
    </w:p>
    <w:p w14:paraId="4667BC56" w14:textId="703121F6" w:rsidR="00BC7402" w:rsidRPr="003C7891" w:rsidRDefault="00271224" w:rsidP="00BC7402">
      <w:pPr>
        <w:pStyle w:val="a7"/>
        <w:numPr>
          <w:ilvl w:val="0"/>
          <w:numId w:val="5"/>
        </w:numPr>
        <w:spacing w:after="0" w:line="360" w:lineRule="auto"/>
        <w:jc w:val="both"/>
        <w:rPr>
          <w:color w:val="000000" w:themeColor="text1"/>
          <w:lang w:val="en-US"/>
        </w:rPr>
      </w:pPr>
      <w:r w:rsidRPr="003C7891">
        <w:rPr>
          <w:color w:val="000000" w:themeColor="text1"/>
          <w:lang w:val="en-US"/>
        </w:rPr>
        <w:t>Social stability</w:t>
      </w:r>
      <w:r w:rsidR="00BC7402" w:rsidRPr="003C7891">
        <w:rPr>
          <w:color w:val="000000" w:themeColor="text1"/>
          <w:lang w:val="en-US"/>
        </w:rPr>
        <w:t>:</w:t>
      </w:r>
    </w:p>
    <w:p w14:paraId="14B11419" w14:textId="622530DB"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r</w:t>
      </w:r>
      <w:r w:rsidRPr="003C7891">
        <w:rPr>
          <w:color w:val="000000" w:themeColor="text1"/>
          <w:lang w:val="en-US"/>
        </w:rPr>
        <w:t>educing inequality by increasing access to financial services for low-income people</w:t>
      </w:r>
      <w:r w:rsidR="00BC7402" w:rsidRPr="003C7891">
        <w:rPr>
          <w:color w:val="000000" w:themeColor="text1"/>
          <w:lang w:val="en-US"/>
        </w:rPr>
        <w:t>;</w:t>
      </w:r>
    </w:p>
    <w:p w14:paraId="685CC94A" w14:textId="0B67AE3E"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improving financial literacy and security of savings</w:t>
      </w:r>
      <w:r w:rsidR="00BC7402" w:rsidRPr="003C7891">
        <w:rPr>
          <w:color w:val="000000" w:themeColor="text1"/>
          <w:lang w:val="en-US"/>
        </w:rPr>
        <w:t>;</w:t>
      </w:r>
    </w:p>
    <w:p w14:paraId="4AA2FD4A" w14:textId="23F243A3" w:rsidR="00BC7402" w:rsidRPr="003C7891" w:rsidRDefault="00271224" w:rsidP="00BC740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r</w:t>
      </w:r>
      <w:r w:rsidRPr="003C7891">
        <w:rPr>
          <w:color w:val="000000" w:themeColor="text1"/>
          <w:lang w:val="en-US"/>
        </w:rPr>
        <w:t>educing the shadow economy by engaging the population in official financial flows</w:t>
      </w:r>
      <w:r w:rsidR="00BC7402" w:rsidRPr="003C7891">
        <w:rPr>
          <w:color w:val="000000" w:themeColor="text1"/>
          <w:lang w:val="en-US"/>
        </w:rPr>
        <w:t>.</w:t>
      </w:r>
    </w:p>
    <w:p w14:paraId="26D51C00" w14:textId="69BFC9FE" w:rsidR="00585C52" w:rsidRPr="003C7891" w:rsidRDefault="00271224" w:rsidP="00BC7402">
      <w:pPr>
        <w:spacing w:after="0" w:line="360" w:lineRule="auto"/>
        <w:ind w:firstLine="567"/>
        <w:jc w:val="both"/>
        <w:rPr>
          <w:color w:val="000000" w:themeColor="text1"/>
          <w:lang w:val="en-US"/>
        </w:rPr>
      </w:pPr>
      <w:r w:rsidRPr="003C7891">
        <w:rPr>
          <w:color w:val="000000" w:themeColor="text1"/>
          <w:lang w:val="en-US"/>
        </w:rPr>
        <w:t>To better understand the impact of banking access on the economy and social stability, Table 1 presents a comparative analysis of countries with high and low levels of access to banking services.</w:t>
      </w:r>
      <w:r w:rsidR="00585C52" w:rsidRPr="003C7891">
        <w:rPr>
          <w:color w:val="000000" w:themeColor="text1"/>
          <w:lang w:val="en-US"/>
        </w:rPr>
        <w:t xml:space="preserve"> </w:t>
      </w:r>
      <w:r w:rsidR="00585C52" w:rsidRPr="003C7891">
        <w:rPr>
          <w:color w:val="000000" w:themeColor="text1"/>
          <w:lang w:val="en-US"/>
        </w:rPr>
        <w:t xml:space="preserve">As Table 1 shows, among developed countries, the level </w:t>
      </w:r>
      <w:r w:rsidR="00585C52" w:rsidRPr="003C7891">
        <w:rPr>
          <w:color w:val="000000" w:themeColor="text1"/>
          <w:lang w:val="en-US"/>
        </w:rPr>
        <w:lastRenderedPageBreak/>
        <w:t>of financial inclusion remains consistently high and ranges from 85-99% (e.g., in the EU, Canada, the US, and Japan).</w:t>
      </w:r>
    </w:p>
    <w:p w14:paraId="418C92B7" w14:textId="34A1A9FD" w:rsidR="00B84A82" w:rsidRPr="003C7891" w:rsidRDefault="00271224" w:rsidP="00BC7402">
      <w:pPr>
        <w:spacing w:after="0" w:line="360" w:lineRule="auto"/>
        <w:ind w:firstLine="567"/>
        <w:jc w:val="both"/>
        <w:rPr>
          <w:color w:val="000000" w:themeColor="text1"/>
          <w:lang w:val="en-US"/>
        </w:rPr>
      </w:pPr>
      <w:r w:rsidRPr="003C7891">
        <w:rPr>
          <w:color w:val="000000" w:themeColor="text1"/>
          <w:lang w:val="en-US"/>
        </w:rPr>
        <w:t>Table 1</w:t>
      </w:r>
      <w:r w:rsidRPr="003C7891">
        <w:rPr>
          <w:color w:val="000000" w:themeColor="text1"/>
          <w:lang w:val="en-US"/>
        </w:rPr>
        <w:t>.</w:t>
      </w:r>
      <w:r w:rsidRPr="003C7891">
        <w:rPr>
          <w:color w:val="000000" w:themeColor="text1"/>
          <w:lang w:val="en-US"/>
        </w:rPr>
        <w:t xml:space="preserve"> Comparative analysis of economic and social indicators of countries with different levels of financial inclusion (2021-2023)</w:t>
      </w:r>
    </w:p>
    <w:tbl>
      <w:tblPr>
        <w:tblStyle w:val="a8"/>
        <w:tblW w:w="5000" w:type="pct"/>
        <w:tblLook w:val="04A0" w:firstRow="1" w:lastRow="0" w:firstColumn="1" w:lastColumn="0" w:noHBand="0" w:noVBand="1"/>
      </w:tblPr>
      <w:tblGrid>
        <w:gridCol w:w="3210"/>
        <w:gridCol w:w="3210"/>
        <w:gridCol w:w="3208"/>
      </w:tblGrid>
      <w:tr w:rsidR="00271224" w:rsidRPr="003C7891" w14:paraId="3F0813E2" w14:textId="77777777" w:rsidTr="00271224">
        <w:tc>
          <w:tcPr>
            <w:tcW w:w="1667" w:type="pct"/>
          </w:tcPr>
          <w:p w14:paraId="7E335F22" w14:textId="66A9A7D0" w:rsidR="00271224" w:rsidRPr="003C7891" w:rsidRDefault="00271224" w:rsidP="00271224">
            <w:pPr>
              <w:jc w:val="center"/>
              <w:rPr>
                <w:b/>
                <w:bCs/>
                <w:color w:val="000000" w:themeColor="text1"/>
                <w:sz w:val="24"/>
                <w:szCs w:val="24"/>
                <w:lang w:val="en-US"/>
              </w:rPr>
            </w:pPr>
            <w:r w:rsidRPr="003C7891">
              <w:rPr>
                <w:lang w:val="en-US"/>
              </w:rPr>
              <w:t xml:space="preserve">Indicator </w:t>
            </w:r>
          </w:p>
        </w:tc>
        <w:tc>
          <w:tcPr>
            <w:tcW w:w="1667" w:type="pct"/>
          </w:tcPr>
          <w:p w14:paraId="13D5A659" w14:textId="65D3BEC9" w:rsidR="00271224" w:rsidRPr="003C7891" w:rsidRDefault="00271224" w:rsidP="00271224">
            <w:pPr>
              <w:jc w:val="center"/>
              <w:rPr>
                <w:b/>
                <w:bCs/>
                <w:color w:val="000000" w:themeColor="text1"/>
                <w:sz w:val="24"/>
                <w:szCs w:val="24"/>
                <w:lang w:val="en-US"/>
              </w:rPr>
            </w:pPr>
            <w:r w:rsidRPr="003C7891">
              <w:rPr>
                <w:lang w:val="en-US"/>
              </w:rPr>
              <w:t xml:space="preserve">Countries with high accessibility </w:t>
            </w:r>
          </w:p>
        </w:tc>
        <w:tc>
          <w:tcPr>
            <w:tcW w:w="1666" w:type="pct"/>
          </w:tcPr>
          <w:p w14:paraId="065B55B7" w14:textId="074B20A8" w:rsidR="00271224" w:rsidRPr="003C7891" w:rsidRDefault="00271224" w:rsidP="00271224">
            <w:pPr>
              <w:jc w:val="center"/>
              <w:rPr>
                <w:b/>
                <w:bCs/>
                <w:color w:val="000000" w:themeColor="text1"/>
                <w:sz w:val="24"/>
                <w:szCs w:val="24"/>
                <w:lang w:val="en-US"/>
              </w:rPr>
            </w:pPr>
            <w:r w:rsidRPr="003C7891">
              <w:rPr>
                <w:lang w:val="en-US"/>
              </w:rPr>
              <w:t>Countries with low accessibility</w:t>
            </w:r>
          </w:p>
        </w:tc>
      </w:tr>
      <w:tr w:rsidR="00B93344" w:rsidRPr="003C7891" w14:paraId="2404F357" w14:textId="77777777" w:rsidTr="00271224">
        <w:tc>
          <w:tcPr>
            <w:tcW w:w="1667" w:type="pct"/>
            <w:vAlign w:val="center"/>
          </w:tcPr>
          <w:p w14:paraId="421DBC76" w14:textId="306C34A9" w:rsidR="00B84A82" w:rsidRPr="003C7891" w:rsidRDefault="00585C52" w:rsidP="00CA54C7">
            <w:pPr>
              <w:rPr>
                <w:color w:val="000000" w:themeColor="text1"/>
                <w:sz w:val="24"/>
                <w:szCs w:val="24"/>
                <w:lang w:val="en-US"/>
              </w:rPr>
            </w:pPr>
            <w:r w:rsidRPr="003C7891">
              <w:rPr>
                <w:rStyle w:val="a3"/>
                <w:b w:val="0"/>
                <w:bCs w:val="0"/>
                <w:color w:val="000000" w:themeColor="text1"/>
                <w:sz w:val="24"/>
                <w:szCs w:val="24"/>
                <w:lang w:val="en-US"/>
              </w:rPr>
              <w:t>Financial inclusion rate (% of population with bank accounts)</w:t>
            </w:r>
          </w:p>
        </w:tc>
        <w:tc>
          <w:tcPr>
            <w:tcW w:w="1667" w:type="pct"/>
            <w:vAlign w:val="center"/>
          </w:tcPr>
          <w:p w14:paraId="09D3E50B" w14:textId="2036125D" w:rsidR="00B84A82" w:rsidRPr="003C7891" w:rsidRDefault="00585C52" w:rsidP="00CA54C7">
            <w:pPr>
              <w:jc w:val="center"/>
              <w:rPr>
                <w:color w:val="000000" w:themeColor="text1"/>
                <w:sz w:val="24"/>
                <w:szCs w:val="24"/>
                <w:lang w:val="en-US"/>
              </w:rPr>
            </w:pPr>
            <w:r w:rsidRPr="003C7891">
              <w:rPr>
                <w:color w:val="000000" w:themeColor="text1"/>
                <w:sz w:val="24"/>
                <w:szCs w:val="24"/>
                <w:lang w:val="en-US"/>
              </w:rPr>
              <w:t>85-99% (EU, Canada, Japan, Australia, South Korea, USA)</w:t>
            </w:r>
          </w:p>
        </w:tc>
        <w:tc>
          <w:tcPr>
            <w:tcW w:w="1666" w:type="pct"/>
            <w:vAlign w:val="center"/>
          </w:tcPr>
          <w:p w14:paraId="2106993C" w14:textId="1E3FAEDC"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15–45% </w:t>
            </w:r>
            <w:r w:rsidR="00585C52" w:rsidRPr="003C7891">
              <w:rPr>
                <w:color w:val="000000" w:themeColor="text1"/>
                <w:sz w:val="24"/>
                <w:szCs w:val="24"/>
                <w:lang w:val="en-US"/>
              </w:rPr>
              <w:t>(Nigeria, Chad, Congo, Afghanistan, Yemen)</w:t>
            </w:r>
          </w:p>
        </w:tc>
      </w:tr>
      <w:tr w:rsidR="00B93344" w:rsidRPr="003C7891" w14:paraId="21029F47" w14:textId="77777777" w:rsidTr="00271224">
        <w:tc>
          <w:tcPr>
            <w:tcW w:w="1667" w:type="pct"/>
            <w:vAlign w:val="center"/>
          </w:tcPr>
          <w:p w14:paraId="21A91757" w14:textId="0C34E26F" w:rsidR="00B84A82" w:rsidRPr="003C7891" w:rsidRDefault="00585C52" w:rsidP="00CA54C7">
            <w:pPr>
              <w:rPr>
                <w:color w:val="000000" w:themeColor="text1"/>
                <w:sz w:val="24"/>
                <w:szCs w:val="24"/>
                <w:lang w:val="en-US"/>
              </w:rPr>
            </w:pPr>
            <w:r w:rsidRPr="003C7891">
              <w:rPr>
                <w:rStyle w:val="a3"/>
                <w:b w:val="0"/>
                <w:bCs w:val="0"/>
                <w:color w:val="000000" w:themeColor="text1"/>
                <w:sz w:val="24"/>
                <w:szCs w:val="24"/>
                <w:lang w:val="en-US"/>
              </w:rPr>
              <w:t>Unemployment rate</w:t>
            </w:r>
          </w:p>
        </w:tc>
        <w:tc>
          <w:tcPr>
            <w:tcW w:w="1667" w:type="pct"/>
            <w:vAlign w:val="center"/>
          </w:tcPr>
          <w:p w14:paraId="6EF12FE8" w14:textId="5FC5F7F2"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2,5–6% (</w:t>
            </w:r>
            <w:r w:rsidR="00585C52" w:rsidRPr="003C7891">
              <w:rPr>
                <w:color w:val="000000" w:themeColor="text1"/>
                <w:sz w:val="24"/>
                <w:szCs w:val="24"/>
                <w:lang w:val="en-US"/>
              </w:rPr>
              <w:t>EU, USA, South Korea)</w:t>
            </w:r>
          </w:p>
        </w:tc>
        <w:tc>
          <w:tcPr>
            <w:tcW w:w="1666" w:type="pct"/>
            <w:vAlign w:val="center"/>
          </w:tcPr>
          <w:p w14:paraId="35C7C62D" w14:textId="68564648"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12–35% </w:t>
            </w:r>
            <w:r w:rsidR="00585C52" w:rsidRPr="003C7891">
              <w:rPr>
                <w:color w:val="000000" w:themeColor="text1"/>
                <w:sz w:val="24"/>
                <w:szCs w:val="24"/>
                <w:lang w:val="en-US"/>
              </w:rPr>
              <w:t>(Yemen, Chad, Nigeria)</w:t>
            </w:r>
          </w:p>
        </w:tc>
      </w:tr>
      <w:tr w:rsidR="00B93344" w:rsidRPr="003C7891" w14:paraId="62DB22A2" w14:textId="77777777" w:rsidTr="00271224">
        <w:tc>
          <w:tcPr>
            <w:tcW w:w="1667" w:type="pct"/>
            <w:vAlign w:val="center"/>
          </w:tcPr>
          <w:p w14:paraId="49CDBC7D" w14:textId="7CC6A3A4" w:rsidR="00B84A82" w:rsidRPr="003C7891" w:rsidRDefault="00585C52" w:rsidP="00CA54C7">
            <w:pPr>
              <w:rPr>
                <w:color w:val="000000" w:themeColor="text1"/>
                <w:sz w:val="24"/>
                <w:szCs w:val="24"/>
                <w:lang w:val="en-US"/>
              </w:rPr>
            </w:pPr>
            <w:r w:rsidRPr="003C7891">
              <w:rPr>
                <w:rStyle w:val="a3"/>
                <w:b w:val="0"/>
                <w:bCs w:val="0"/>
                <w:color w:val="000000" w:themeColor="text1"/>
                <w:sz w:val="24"/>
                <w:szCs w:val="24"/>
                <w:lang w:val="en-US"/>
              </w:rPr>
              <w:t>GDP per capita (USD)</w:t>
            </w:r>
          </w:p>
        </w:tc>
        <w:tc>
          <w:tcPr>
            <w:tcW w:w="1667" w:type="pct"/>
            <w:vAlign w:val="center"/>
          </w:tcPr>
          <w:p w14:paraId="74C4F22E" w14:textId="2A68B868"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40 000–75 000 </w:t>
            </w:r>
            <w:r w:rsidR="00585C52" w:rsidRPr="003C7891">
              <w:rPr>
                <w:color w:val="000000" w:themeColor="text1"/>
                <w:sz w:val="24"/>
                <w:szCs w:val="24"/>
                <w:lang w:val="en-US"/>
              </w:rPr>
              <w:t>(USA, Switzerland, Norway, Australia)</w:t>
            </w:r>
          </w:p>
        </w:tc>
        <w:tc>
          <w:tcPr>
            <w:tcW w:w="1666" w:type="pct"/>
            <w:vAlign w:val="center"/>
          </w:tcPr>
          <w:p w14:paraId="428BC8B2" w14:textId="75914421"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800–4 500 </w:t>
            </w:r>
            <w:r w:rsidR="00585C52" w:rsidRPr="003C7891">
              <w:rPr>
                <w:color w:val="000000" w:themeColor="text1"/>
                <w:sz w:val="24"/>
                <w:szCs w:val="24"/>
                <w:lang w:val="en-US"/>
              </w:rPr>
              <w:t>(Congo, Afghanistan, Yemen)</w:t>
            </w:r>
          </w:p>
        </w:tc>
      </w:tr>
      <w:tr w:rsidR="00B93344" w:rsidRPr="003C7891" w14:paraId="324D4A86" w14:textId="77777777" w:rsidTr="00271224">
        <w:tc>
          <w:tcPr>
            <w:tcW w:w="1667" w:type="pct"/>
            <w:vAlign w:val="center"/>
          </w:tcPr>
          <w:p w14:paraId="36201D10" w14:textId="5203550B" w:rsidR="00B84A82" w:rsidRPr="003C7891" w:rsidRDefault="00585C52" w:rsidP="00CA54C7">
            <w:pPr>
              <w:rPr>
                <w:rStyle w:val="a3"/>
                <w:b w:val="0"/>
                <w:bCs w:val="0"/>
                <w:color w:val="000000" w:themeColor="text1"/>
                <w:sz w:val="24"/>
                <w:szCs w:val="24"/>
                <w:lang w:val="en-US"/>
              </w:rPr>
            </w:pPr>
            <w:r w:rsidRPr="003C7891">
              <w:rPr>
                <w:rStyle w:val="a3"/>
                <w:b w:val="0"/>
                <w:bCs w:val="0"/>
                <w:color w:val="000000" w:themeColor="text1"/>
                <w:sz w:val="24"/>
                <w:szCs w:val="24"/>
                <w:lang w:val="en-US"/>
              </w:rPr>
              <w:t>Share of small and medium-sized businesses in GDP</w:t>
            </w:r>
          </w:p>
        </w:tc>
        <w:tc>
          <w:tcPr>
            <w:tcW w:w="1667" w:type="pct"/>
            <w:vAlign w:val="center"/>
          </w:tcPr>
          <w:p w14:paraId="0907BE51" w14:textId="28AA8C88"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50–65% </w:t>
            </w:r>
            <w:r w:rsidR="00585C52" w:rsidRPr="003C7891">
              <w:rPr>
                <w:color w:val="000000" w:themeColor="text1"/>
                <w:sz w:val="24"/>
                <w:szCs w:val="24"/>
                <w:lang w:val="en-US"/>
              </w:rPr>
              <w:t>(Germany, UK, Japan)</w:t>
            </w:r>
          </w:p>
        </w:tc>
        <w:tc>
          <w:tcPr>
            <w:tcW w:w="1666" w:type="pct"/>
            <w:vAlign w:val="center"/>
          </w:tcPr>
          <w:p w14:paraId="091CD231" w14:textId="2F40B1C5" w:rsidR="00B84A82" w:rsidRPr="003C7891" w:rsidRDefault="00585C52" w:rsidP="00CA54C7">
            <w:pPr>
              <w:jc w:val="center"/>
              <w:rPr>
                <w:color w:val="000000" w:themeColor="text1"/>
                <w:sz w:val="24"/>
                <w:szCs w:val="24"/>
                <w:lang w:val="en-US"/>
              </w:rPr>
            </w:pPr>
            <w:r w:rsidRPr="003C7891">
              <w:rPr>
                <w:color w:val="000000" w:themeColor="text1"/>
                <w:sz w:val="24"/>
                <w:szCs w:val="24"/>
                <w:lang w:val="en-US"/>
              </w:rPr>
              <w:t>Less than 25% (Nigeria, Congo, Chad)</w:t>
            </w:r>
          </w:p>
        </w:tc>
      </w:tr>
      <w:tr w:rsidR="00CA54C7" w:rsidRPr="003C7891" w14:paraId="29B2A781" w14:textId="77777777" w:rsidTr="00271224">
        <w:tc>
          <w:tcPr>
            <w:tcW w:w="1667" w:type="pct"/>
            <w:vAlign w:val="center"/>
          </w:tcPr>
          <w:p w14:paraId="62634699" w14:textId="0A400606" w:rsidR="00B84A82" w:rsidRPr="003C7891" w:rsidRDefault="00585C52" w:rsidP="00CA54C7">
            <w:pPr>
              <w:rPr>
                <w:rStyle w:val="a3"/>
                <w:b w:val="0"/>
                <w:bCs w:val="0"/>
                <w:color w:val="000000" w:themeColor="text1"/>
                <w:sz w:val="24"/>
                <w:szCs w:val="24"/>
                <w:lang w:val="en-US"/>
              </w:rPr>
            </w:pPr>
            <w:r w:rsidRPr="003C7891">
              <w:rPr>
                <w:rStyle w:val="a3"/>
                <w:b w:val="0"/>
                <w:bCs w:val="0"/>
                <w:color w:val="000000" w:themeColor="text1"/>
                <w:sz w:val="24"/>
                <w:szCs w:val="24"/>
                <w:lang w:val="en-US"/>
              </w:rPr>
              <w:t>Poverty rate (% of population below the poverty line)</w:t>
            </w:r>
          </w:p>
        </w:tc>
        <w:tc>
          <w:tcPr>
            <w:tcW w:w="1667" w:type="pct"/>
            <w:vAlign w:val="center"/>
          </w:tcPr>
          <w:p w14:paraId="159852A5" w14:textId="1B9FF10B"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4–12% </w:t>
            </w:r>
            <w:r w:rsidR="00585C52" w:rsidRPr="003C7891">
              <w:rPr>
                <w:color w:val="000000" w:themeColor="text1"/>
                <w:sz w:val="24"/>
                <w:szCs w:val="24"/>
                <w:lang w:val="en-US"/>
              </w:rPr>
              <w:t>(Canada, EU)</w:t>
            </w:r>
          </w:p>
        </w:tc>
        <w:tc>
          <w:tcPr>
            <w:tcW w:w="1666" w:type="pct"/>
            <w:vAlign w:val="center"/>
          </w:tcPr>
          <w:p w14:paraId="0FA74F79" w14:textId="3D0E1357" w:rsidR="00B84A82" w:rsidRPr="003C7891" w:rsidRDefault="00B84A82" w:rsidP="00CA54C7">
            <w:pPr>
              <w:jc w:val="center"/>
              <w:rPr>
                <w:color w:val="000000" w:themeColor="text1"/>
                <w:sz w:val="24"/>
                <w:szCs w:val="24"/>
                <w:lang w:val="en-US"/>
              </w:rPr>
            </w:pPr>
            <w:r w:rsidRPr="003C7891">
              <w:rPr>
                <w:color w:val="000000" w:themeColor="text1"/>
                <w:sz w:val="24"/>
                <w:szCs w:val="24"/>
                <w:lang w:val="en-US"/>
              </w:rPr>
              <w:t xml:space="preserve">35–60% </w:t>
            </w:r>
            <w:r w:rsidR="00585C52" w:rsidRPr="003C7891">
              <w:rPr>
                <w:color w:val="000000" w:themeColor="text1"/>
                <w:sz w:val="24"/>
                <w:szCs w:val="24"/>
                <w:lang w:val="en-US"/>
              </w:rPr>
              <w:t>(Afghanistan, Chad, Nigeria)</w:t>
            </w:r>
          </w:p>
        </w:tc>
      </w:tr>
    </w:tbl>
    <w:p w14:paraId="16866F91" w14:textId="57BB750C" w:rsidR="00585C52" w:rsidRPr="003C7891" w:rsidRDefault="00585C52" w:rsidP="00585C52">
      <w:pPr>
        <w:spacing w:before="60" w:after="0" w:line="360" w:lineRule="auto"/>
        <w:ind w:firstLine="567"/>
        <w:jc w:val="both"/>
        <w:rPr>
          <w:color w:val="000000" w:themeColor="text1"/>
          <w:lang w:val="en-US"/>
        </w:rPr>
      </w:pPr>
      <w:r w:rsidRPr="003C7891">
        <w:rPr>
          <w:color w:val="000000" w:themeColor="text1"/>
          <w:lang w:val="en-US"/>
        </w:rPr>
        <w:t>In contrast, in countries with weak financial institutions, such as Nigeria, Chad, or Afghanistan, access to banking services remains problematic, covering only 15-45% of the population.</w:t>
      </w:r>
      <w:r w:rsidRPr="003C7891">
        <w:rPr>
          <w:color w:val="000000" w:themeColor="text1"/>
          <w:lang w:val="en-US"/>
        </w:rPr>
        <w:t xml:space="preserve"> </w:t>
      </w:r>
      <w:r w:rsidRPr="003C7891">
        <w:rPr>
          <w:color w:val="000000" w:themeColor="text1"/>
          <w:lang w:val="en-US"/>
        </w:rPr>
        <w:t>According to the International Labour Organisation (ILO), unemployment rates in economically developed countries are low and range from 2.5-6%, such as in the US and South Korea. In countries with crisis or post-conflict economies, this figure reaches 12-35% (Yemen, Chad).</w:t>
      </w:r>
      <w:r w:rsidRPr="003C7891">
        <w:rPr>
          <w:color w:val="000000" w:themeColor="text1"/>
          <w:lang w:val="en-US"/>
        </w:rPr>
        <w:t xml:space="preserve"> </w:t>
      </w:r>
      <w:r w:rsidRPr="003C7891">
        <w:rPr>
          <w:color w:val="000000" w:themeColor="text1"/>
          <w:lang w:val="en-US"/>
        </w:rPr>
        <w:t>Gross domestic product (GDP) per capita varies considerably: in developed countries, it ranges from USD 40,000 to 75,000 (as in Switzerland and Australia), while in Africa and South Asia it does not exceed USD 4,500 (for example, in Congo and Afghanistan).</w:t>
      </w:r>
    </w:p>
    <w:p w14:paraId="0CC31CA2" w14:textId="69F9F0C1" w:rsidR="00585C52" w:rsidRPr="003C7891" w:rsidRDefault="00585C52" w:rsidP="004D64D8">
      <w:pPr>
        <w:spacing w:after="0" w:line="360" w:lineRule="auto"/>
        <w:ind w:firstLine="567"/>
        <w:jc w:val="both"/>
        <w:rPr>
          <w:color w:val="000000" w:themeColor="text1"/>
          <w:lang w:val="en-US"/>
        </w:rPr>
      </w:pPr>
      <w:r w:rsidRPr="003C7891">
        <w:rPr>
          <w:color w:val="000000" w:themeColor="text1"/>
          <w:lang w:val="en-US"/>
        </w:rPr>
        <w:t>Small and medium-sized businesses play a key role in developed economies, accounting for 50-65% of GDP (as in Germany and the UK). At the same time, in countries with low levels of financial inclusion, its share does not exceed 25%. The poverty rate varies: in developed countries, it is 4-12%, while in countries with low access to financial services, it reaches 35-60% (as in Afghanistan and Chad).</w:t>
      </w:r>
      <w:r w:rsidRPr="003C7891">
        <w:rPr>
          <w:color w:val="000000" w:themeColor="text1"/>
          <w:lang w:val="en-US"/>
        </w:rPr>
        <w:t xml:space="preserve"> </w:t>
      </w:r>
      <w:r w:rsidRPr="003C7891">
        <w:rPr>
          <w:color w:val="000000" w:themeColor="text1"/>
          <w:lang w:val="en-US"/>
        </w:rPr>
        <w:t>These indicators demonstrate the interconnectedness between access to financial services, economic development and social stability. High levels of financial inclusion contribute to lower unemployment and poverty, GDP growth and entrepreneurship, while low levels of inclusion exacerbate economic and social problems.</w:t>
      </w:r>
    </w:p>
    <w:p w14:paraId="1BAB5DD2" w14:textId="77777777" w:rsidR="00585C52" w:rsidRPr="003C7891" w:rsidRDefault="00585C52" w:rsidP="00C20C17">
      <w:pPr>
        <w:spacing w:after="0" w:line="360" w:lineRule="auto"/>
        <w:ind w:firstLine="567"/>
        <w:jc w:val="both"/>
        <w:rPr>
          <w:color w:val="000000" w:themeColor="text1"/>
          <w:lang w:val="en-US"/>
        </w:rPr>
      </w:pPr>
      <w:r w:rsidRPr="003C7891">
        <w:rPr>
          <w:color w:val="000000" w:themeColor="text1"/>
          <w:lang w:val="en-US"/>
        </w:rPr>
        <w:lastRenderedPageBreak/>
        <w:t>Financial inclusion and the resilience of the banking system are interrelated factors that determine the efficiency of the Ukrainian economy, as financial inclusion implies access to banking services for households and businesses, while bank resilience is measured by the ability of financial institutions to withstand crises and maintain liquidity and solvency in difficult conditions. However, both of these processes face a number of challenges that complicate their implementation.</w:t>
      </w:r>
    </w:p>
    <w:p w14:paraId="6FA74EDC" w14:textId="3A0EF9F6" w:rsidR="00BD0946" w:rsidRPr="003C7891" w:rsidRDefault="00585C52" w:rsidP="00C20C17">
      <w:pPr>
        <w:spacing w:after="0" w:line="360" w:lineRule="auto"/>
        <w:ind w:firstLine="567"/>
        <w:jc w:val="both"/>
        <w:rPr>
          <w:color w:val="000000" w:themeColor="text1"/>
          <w:lang w:val="en-US"/>
        </w:rPr>
      </w:pPr>
      <w:r w:rsidRPr="003C7891">
        <w:rPr>
          <w:color w:val="000000" w:themeColor="text1"/>
          <w:lang w:val="en-US"/>
        </w:rPr>
        <w:t>The main challenges to financial inclusion in Ukraine are</w:t>
      </w:r>
      <w:r w:rsidR="00C20C17" w:rsidRPr="003C7891">
        <w:rPr>
          <w:color w:val="000000" w:themeColor="text1"/>
          <w:lang w:val="en-US"/>
        </w:rPr>
        <w:t>:</w:t>
      </w:r>
    </w:p>
    <w:p w14:paraId="0089328E" w14:textId="6DC47E78" w:rsidR="00BD0946" w:rsidRPr="003C7891" w:rsidRDefault="00585C52" w:rsidP="00585C52">
      <w:pPr>
        <w:pStyle w:val="a7"/>
        <w:numPr>
          <w:ilvl w:val="0"/>
          <w:numId w:val="12"/>
        </w:numPr>
        <w:tabs>
          <w:tab w:val="left" w:pos="993"/>
        </w:tabs>
        <w:spacing w:after="0" w:line="360" w:lineRule="auto"/>
        <w:ind w:hanging="153"/>
        <w:jc w:val="both"/>
        <w:rPr>
          <w:color w:val="000000" w:themeColor="text1"/>
          <w:lang w:val="en-US"/>
        </w:rPr>
      </w:pPr>
      <w:r w:rsidRPr="003C7891">
        <w:rPr>
          <w:color w:val="000000" w:themeColor="text1"/>
          <w:lang w:val="en-US"/>
        </w:rPr>
        <w:t>Unequal access to financial services</w:t>
      </w:r>
      <w:r w:rsidR="00BD0946" w:rsidRPr="003C7891">
        <w:rPr>
          <w:color w:val="000000" w:themeColor="text1"/>
          <w:lang w:val="en-US"/>
        </w:rPr>
        <w:t>:</w:t>
      </w:r>
    </w:p>
    <w:p w14:paraId="2A6522F7" w14:textId="0D243F79"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a significant part of the rural population has limited access to banking infrastructure due to the lack of branches and ATMs in rural areas</w:t>
      </w:r>
      <w:r w:rsidR="00C20C17" w:rsidRPr="003C7891">
        <w:rPr>
          <w:color w:val="000000" w:themeColor="text1"/>
          <w:lang w:val="en-US"/>
        </w:rPr>
        <w:t>;</w:t>
      </w:r>
    </w:p>
    <w:p w14:paraId="04FB2C1C" w14:textId="45BDBC56"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not all citizens have access to online banking due to low levels of digital literacy and network coverage</w:t>
      </w:r>
      <w:r w:rsidR="00C20C17" w:rsidRPr="003C7891">
        <w:rPr>
          <w:color w:val="000000" w:themeColor="text1"/>
          <w:lang w:val="en-US"/>
        </w:rPr>
        <w:t>.</w:t>
      </w:r>
    </w:p>
    <w:p w14:paraId="32D7ED00" w14:textId="3E3A9348" w:rsidR="00BD0946" w:rsidRPr="003C7891" w:rsidRDefault="00585C52" w:rsidP="00585C52">
      <w:pPr>
        <w:pStyle w:val="a7"/>
        <w:numPr>
          <w:ilvl w:val="0"/>
          <w:numId w:val="12"/>
        </w:numPr>
        <w:tabs>
          <w:tab w:val="left" w:pos="993"/>
        </w:tabs>
        <w:spacing w:after="0" w:line="360" w:lineRule="auto"/>
        <w:ind w:hanging="153"/>
        <w:jc w:val="both"/>
        <w:rPr>
          <w:color w:val="000000" w:themeColor="text1"/>
          <w:lang w:val="en-US"/>
        </w:rPr>
      </w:pPr>
      <w:r w:rsidRPr="003C7891">
        <w:rPr>
          <w:color w:val="000000" w:themeColor="text1"/>
          <w:lang w:val="en-US"/>
        </w:rPr>
        <w:t>Financial literacy</w:t>
      </w:r>
      <w:r w:rsidR="00BD0946" w:rsidRPr="003C7891">
        <w:rPr>
          <w:color w:val="000000" w:themeColor="text1"/>
          <w:lang w:val="en-US"/>
        </w:rPr>
        <w:t>:</w:t>
      </w:r>
    </w:p>
    <w:p w14:paraId="20ABEB63" w14:textId="75466B9C"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low financial literacy reduces the use of banking products and services</w:t>
      </w:r>
      <w:r w:rsidR="00C20C17" w:rsidRPr="003C7891">
        <w:rPr>
          <w:color w:val="000000" w:themeColor="text1"/>
          <w:lang w:val="en-US"/>
        </w:rPr>
        <w:t>;</w:t>
      </w:r>
    </w:p>
    <w:p w14:paraId="7E71F0A4" w14:textId="5ECC3D84"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lack of trust in the banking system after the bankruptcies of a number of banks in 2014-2017</w:t>
      </w:r>
      <w:r w:rsidR="00C20C17" w:rsidRPr="003C7891">
        <w:rPr>
          <w:color w:val="000000" w:themeColor="text1"/>
          <w:lang w:val="en-US"/>
        </w:rPr>
        <w:t>.</w:t>
      </w:r>
    </w:p>
    <w:p w14:paraId="7429CA8F" w14:textId="7283BB53" w:rsidR="00BD0946" w:rsidRPr="003C7891" w:rsidRDefault="00585C52" w:rsidP="00585C52">
      <w:pPr>
        <w:pStyle w:val="a7"/>
        <w:numPr>
          <w:ilvl w:val="0"/>
          <w:numId w:val="12"/>
        </w:numPr>
        <w:tabs>
          <w:tab w:val="left" w:pos="993"/>
        </w:tabs>
        <w:spacing w:after="0" w:line="360" w:lineRule="auto"/>
        <w:ind w:hanging="153"/>
        <w:jc w:val="both"/>
        <w:rPr>
          <w:color w:val="000000" w:themeColor="text1"/>
          <w:lang w:val="en-US"/>
        </w:rPr>
      </w:pPr>
      <w:r w:rsidRPr="003C7891">
        <w:rPr>
          <w:color w:val="000000" w:themeColor="text1"/>
          <w:lang w:val="en-US"/>
        </w:rPr>
        <w:t>Socio-economic factors</w:t>
      </w:r>
      <w:r w:rsidR="00BD0946" w:rsidRPr="003C7891">
        <w:rPr>
          <w:color w:val="000000" w:themeColor="text1"/>
          <w:lang w:val="en-US"/>
        </w:rPr>
        <w:t>:</w:t>
      </w:r>
    </w:p>
    <w:p w14:paraId="024CC5AA" w14:textId="7B5FE290"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high levels of poverty and informal employment make access to credit and financial instruments difficult</w:t>
      </w:r>
      <w:r w:rsidR="00C20C17" w:rsidRPr="003C7891">
        <w:rPr>
          <w:color w:val="000000" w:themeColor="text1"/>
          <w:lang w:val="en-US"/>
        </w:rPr>
        <w:t>;</w:t>
      </w:r>
    </w:p>
    <w:p w14:paraId="5647CC05" w14:textId="7D18B7CF" w:rsidR="00BD0946" w:rsidRPr="003C7891" w:rsidRDefault="00585C52" w:rsidP="00585C52">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impact of hostilities: a significant number of citizens have been displaced from areas where banking infrastructure has been destroyed</w:t>
      </w:r>
      <w:r w:rsidR="00C20C17" w:rsidRPr="003C7891">
        <w:rPr>
          <w:color w:val="000000" w:themeColor="text1"/>
          <w:lang w:val="en-US"/>
        </w:rPr>
        <w:t>.</w:t>
      </w:r>
    </w:p>
    <w:p w14:paraId="4469D8BC" w14:textId="36F7B40E" w:rsidR="00BD0946" w:rsidRPr="003C7891" w:rsidRDefault="00585C52" w:rsidP="00C20C17">
      <w:pPr>
        <w:spacing w:after="0" w:line="360" w:lineRule="auto"/>
        <w:ind w:firstLine="567"/>
        <w:jc w:val="both"/>
        <w:rPr>
          <w:color w:val="000000" w:themeColor="text1"/>
          <w:lang w:val="en-US"/>
        </w:rPr>
      </w:pPr>
      <w:r w:rsidRPr="003C7891">
        <w:rPr>
          <w:color w:val="000000" w:themeColor="text1"/>
          <w:lang w:val="en-US"/>
        </w:rPr>
        <w:t>Financial inclusion creates the preconditions for economic development and increased public confidence in banks, but its expansion requires a stable and reliable banking system. Ukrainian banks are forced to operate under constant internal and external risks, which hampers their ability to ensure sustainability and efficiency.</w:t>
      </w:r>
      <w:r w:rsidRPr="003C7891">
        <w:rPr>
          <w:color w:val="000000" w:themeColor="text1"/>
          <w:lang w:val="en-US"/>
        </w:rPr>
        <w:t xml:space="preserve"> </w:t>
      </w:r>
      <w:r w:rsidRPr="003C7891">
        <w:rPr>
          <w:color w:val="000000" w:themeColor="text1"/>
          <w:lang w:val="en-US"/>
        </w:rPr>
        <w:t>The main risks affecting the stability of the Ukrainian banking system are</w:t>
      </w:r>
      <w:r w:rsidR="00C20C17" w:rsidRPr="003C7891">
        <w:rPr>
          <w:color w:val="000000" w:themeColor="text1"/>
          <w:lang w:val="en-US"/>
        </w:rPr>
        <w:t>:</w:t>
      </w:r>
    </w:p>
    <w:p w14:paraId="2BAC7166" w14:textId="0A650F12" w:rsidR="00BD0946" w:rsidRPr="003C7891" w:rsidRDefault="00585C52" w:rsidP="00C20C17">
      <w:pPr>
        <w:pStyle w:val="a7"/>
        <w:numPr>
          <w:ilvl w:val="0"/>
          <w:numId w:val="13"/>
        </w:numPr>
        <w:spacing w:after="0" w:line="360" w:lineRule="auto"/>
        <w:jc w:val="both"/>
        <w:rPr>
          <w:color w:val="000000" w:themeColor="text1"/>
          <w:lang w:val="en-US"/>
        </w:rPr>
      </w:pPr>
      <w:r w:rsidRPr="003C7891">
        <w:rPr>
          <w:color w:val="000000" w:themeColor="text1"/>
          <w:lang w:val="en-US"/>
        </w:rPr>
        <w:t>High level of non-performing loans</w:t>
      </w:r>
      <w:r w:rsidR="00BD0946" w:rsidRPr="003C7891">
        <w:rPr>
          <w:color w:val="000000" w:themeColor="text1"/>
          <w:lang w:val="en-US"/>
        </w:rPr>
        <w:t>:</w:t>
      </w:r>
    </w:p>
    <w:p w14:paraId="11872C60" w14:textId="0FE9C02C"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outstanding loans, especially in the corporate sector, reduce banks' liquidity and limit their lending activity</w:t>
      </w:r>
      <w:r w:rsidR="00C20C17" w:rsidRPr="003C7891">
        <w:rPr>
          <w:color w:val="000000" w:themeColor="text1"/>
          <w:lang w:val="en-US"/>
        </w:rPr>
        <w:t>;</w:t>
      </w:r>
    </w:p>
    <w:p w14:paraId="09BE1BF2" w14:textId="30B57EA9"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lastRenderedPageBreak/>
        <w:t>t</w:t>
      </w:r>
      <w:r w:rsidRPr="003C7891">
        <w:rPr>
          <w:color w:val="000000" w:themeColor="text1"/>
          <w:lang w:val="en-US"/>
        </w:rPr>
        <w:t>he need to create provisions for non-performing loans increases the financial burden on banks</w:t>
      </w:r>
      <w:r w:rsidR="00C20C17" w:rsidRPr="003C7891">
        <w:rPr>
          <w:color w:val="000000" w:themeColor="text1"/>
          <w:lang w:val="en-US"/>
        </w:rPr>
        <w:t>.</w:t>
      </w:r>
    </w:p>
    <w:p w14:paraId="5D42C7D0" w14:textId="3194EE59" w:rsidR="00BD0946" w:rsidRPr="003C7891" w:rsidRDefault="00585C52" w:rsidP="00C20C17">
      <w:pPr>
        <w:pStyle w:val="a7"/>
        <w:numPr>
          <w:ilvl w:val="0"/>
          <w:numId w:val="13"/>
        </w:numPr>
        <w:spacing w:after="0" w:line="360" w:lineRule="auto"/>
        <w:jc w:val="both"/>
        <w:rPr>
          <w:color w:val="000000" w:themeColor="text1"/>
          <w:lang w:val="en-US"/>
        </w:rPr>
      </w:pPr>
      <w:r w:rsidRPr="003C7891">
        <w:rPr>
          <w:color w:val="000000" w:themeColor="text1"/>
          <w:lang w:val="en-US"/>
        </w:rPr>
        <w:t>Currency risks and dependence on foreign markets</w:t>
      </w:r>
      <w:r w:rsidR="00BD0946" w:rsidRPr="003C7891">
        <w:rPr>
          <w:color w:val="000000" w:themeColor="text1"/>
          <w:lang w:val="en-US"/>
        </w:rPr>
        <w:t>:</w:t>
      </w:r>
    </w:p>
    <w:p w14:paraId="65F8598A" w14:textId="30D008FD"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exchange rate fluctuations affect the stability of banks, especially those with significant foreign currency liabilities</w:t>
      </w:r>
      <w:r w:rsidR="00C20C17" w:rsidRPr="003C7891">
        <w:rPr>
          <w:color w:val="000000" w:themeColor="text1"/>
          <w:lang w:val="en-US"/>
        </w:rPr>
        <w:t>;</w:t>
      </w:r>
    </w:p>
    <w:p w14:paraId="03900151" w14:textId="66199C7E"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dependence on international financial institutions makes the system vulnerable to external shocks</w:t>
      </w:r>
      <w:r w:rsidR="00C20C17" w:rsidRPr="003C7891">
        <w:rPr>
          <w:color w:val="000000" w:themeColor="text1"/>
          <w:lang w:val="en-US"/>
        </w:rPr>
        <w:t>.</w:t>
      </w:r>
    </w:p>
    <w:p w14:paraId="468F2F68" w14:textId="0112B0F6" w:rsidR="00BD0946" w:rsidRPr="003C7891" w:rsidRDefault="00585C52" w:rsidP="00C20C17">
      <w:pPr>
        <w:pStyle w:val="a7"/>
        <w:numPr>
          <w:ilvl w:val="0"/>
          <w:numId w:val="13"/>
        </w:numPr>
        <w:spacing w:after="0" w:line="360" w:lineRule="auto"/>
        <w:jc w:val="both"/>
        <w:rPr>
          <w:color w:val="000000" w:themeColor="text1"/>
          <w:lang w:val="en-US"/>
        </w:rPr>
      </w:pPr>
      <w:r w:rsidRPr="003C7891">
        <w:rPr>
          <w:color w:val="000000" w:themeColor="text1"/>
          <w:lang w:val="en-US"/>
        </w:rPr>
        <w:t>Regulatory challenges</w:t>
      </w:r>
      <w:r w:rsidR="00BD0946" w:rsidRPr="003C7891">
        <w:rPr>
          <w:color w:val="000000" w:themeColor="text1"/>
          <w:lang w:val="en-US"/>
        </w:rPr>
        <w:t>:</w:t>
      </w:r>
    </w:p>
    <w:p w14:paraId="7E1A7E59" w14:textId="6BD22F7F"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capital adequacy and risk management requirements make it difficult for small banks to operate</w:t>
      </w:r>
      <w:r w:rsidR="00C20C17" w:rsidRPr="003C7891">
        <w:rPr>
          <w:color w:val="000000" w:themeColor="text1"/>
          <w:lang w:val="en-US"/>
        </w:rPr>
        <w:t>;</w:t>
      </w:r>
    </w:p>
    <w:p w14:paraId="596E06CE" w14:textId="7EEED37A" w:rsidR="00BD0946" w:rsidRPr="003C7891" w:rsidRDefault="00585C52" w:rsidP="00C20C17">
      <w:pPr>
        <w:pStyle w:val="a7"/>
        <w:numPr>
          <w:ilvl w:val="0"/>
          <w:numId w:val="3"/>
        </w:numPr>
        <w:tabs>
          <w:tab w:val="left" w:pos="851"/>
          <w:tab w:val="left" w:pos="993"/>
        </w:tabs>
        <w:spacing w:after="0" w:line="360" w:lineRule="auto"/>
        <w:ind w:left="0" w:firstLine="567"/>
        <w:jc w:val="both"/>
        <w:rPr>
          <w:color w:val="000000" w:themeColor="text1"/>
          <w:lang w:val="en-US"/>
        </w:rPr>
      </w:pPr>
      <w:r w:rsidRPr="003C7891">
        <w:rPr>
          <w:color w:val="000000" w:themeColor="text1"/>
          <w:lang w:val="en-US"/>
        </w:rPr>
        <w:t>the need to implement new standards (e.g. Basel III) requires significant financial and technological resources</w:t>
      </w:r>
      <w:r w:rsidR="00BD0946" w:rsidRPr="003C7891">
        <w:rPr>
          <w:color w:val="000000" w:themeColor="text1"/>
          <w:lang w:val="en-US"/>
        </w:rPr>
        <w:t>.</w:t>
      </w:r>
    </w:p>
    <w:p w14:paraId="3DEFEBFF" w14:textId="72AC8F28" w:rsidR="001A2E61" w:rsidRPr="003C7891" w:rsidRDefault="001A2E61" w:rsidP="00CA54C7">
      <w:pPr>
        <w:tabs>
          <w:tab w:val="left" w:pos="851"/>
          <w:tab w:val="left" w:pos="993"/>
        </w:tabs>
        <w:spacing w:after="0" w:line="360" w:lineRule="auto"/>
        <w:jc w:val="center"/>
        <w:rPr>
          <w:lang w:val="en-US"/>
        </w:rPr>
      </w:pPr>
      <w:r w:rsidRPr="003C7891">
        <w:rPr>
          <w:noProof/>
          <w:sz w:val="24"/>
          <w:szCs w:val="24"/>
          <w:lang w:val="en-US"/>
        </w:rPr>
        <w:drawing>
          <wp:inline distT="0" distB="0" distL="0" distR="0" wp14:anchorId="60FCDB8E" wp14:editId="0FA80EF2">
            <wp:extent cx="5645150" cy="2990850"/>
            <wp:effectExtent l="0" t="0" r="12700" b="0"/>
            <wp:docPr id="1" name="Діаграма 1">
              <a:extLst xmlns:a="http://schemas.openxmlformats.org/drawingml/2006/main">
                <a:ext uri="{FF2B5EF4-FFF2-40B4-BE49-F238E27FC236}">
                  <a16:creationId xmlns:a16="http://schemas.microsoft.com/office/drawing/2014/main" id="{4E3D84D6-7428-4164-B751-B6C02DFB3B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5AF466B7" w14:textId="66DFD5F9" w:rsidR="00BD0946" w:rsidRPr="003C7891" w:rsidRDefault="00585C52" w:rsidP="00585C52">
      <w:pPr>
        <w:spacing w:line="360" w:lineRule="auto"/>
        <w:ind w:firstLine="567"/>
        <w:jc w:val="both"/>
        <w:rPr>
          <w:sz w:val="16"/>
          <w:szCs w:val="16"/>
          <w:lang w:val="en-US"/>
        </w:rPr>
      </w:pPr>
      <w:r w:rsidRPr="003C7891">
        <w:rPr>
          <w:lang w:val="en-US"/>
        </w:rPr>
        <w:t>Figure 1. Statistical overview of financial inclusion and bank resilience in Ukraine for 2021-2023.</w:t>
      </w:r>
    </w:p>
    <w:p w14:paraId="6D154F72" w14:textId="07A786AF" w:rsidR="00BD0946" w:rsidRPr="003C7891" w:rsidRDefault="00585C52" w:rsidP="002A636A">
      <w:pPr>
        <w:spacing w:after="0" w:line="360" w:lineRule="auto"/>
        <w:ind w:firstLine="567"/>
        <w:jc w:val="both"/>
        <w:rPr>
          <w:lang w:val="en-US"/>
        </w:rPr>
      </w:pPr>
      <w:r w:rsidRPr="003C7891">
        <w:rPr>
          <w:lang w:val="en-US"/>
        </w:rPr>
        <w:t>Overview of the impact of the challenges on the financial system</w:t>
      </w:r>
      <w:r w:rsidR="002A636A" w:rsidRPr="003C7891">
        <w:rPr>
          <w:lang w:val="en-US"/>
        </w:rPr>
        <w:t>:</w:t>
      </w:r>
    </w:p>
    <w:p w14:paraId="6595C7DD" w14:textId="62DC1B9C"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rStyle w:val="a3"/>
          <w:b w:val="0"/>
          <w:bCs w:val="0"/>
          <w:lang w:val="en-US"/>
        </w:rPr>
        <w:t>high level of NPLs restricts the lending activity of banks, which negatively affects the availability of financing for businesses and individuals</w:t>
      </w:r>
      <w:r w:rsidR="002A636A" w:rsidRPr="003C7891">
        <w:rPr>
          <w:lang w:val="en-US"/>
        </w:rPr>
        <w:t>;</w:t>
      </w:r>
    </w:p>
    <w:p w14:paraId="3E216870" w14:textId="59099244"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lastRenderedPageBreak/>
        <w:t>t</w:t>
      </w:r>
      <w:r w:rsidRPr="003C7891">
        <w:rPr>
          <w:lang w:val="en-US"/>
        </w:rPr>
        <w:t>he decline in the number of branches indicates a gradual transition to digital banking services, which may increase inequality in access to financial resources, especially in rural areas</w:t>
      </w:r>
      <w:r w:rsidR="002A636A" w:rsidRPr="003C7891">
        <w:rPr>
          <w:lang w:val="en-US"/>
        </w:rPr>
        <w:t>;</w:t>
      </w:r>
    </w:p>
    <w:p w14:paraId="22B073E5" w14:textId="69B167CB"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t>t</w:t>
      </w:r>
      <w:r w:rsidRPr="003C7891">
        <w:rPr>
          <w:lang w:val="en-US"/>
        </w:rPr>
        <w:t>he growth of financial literacy is positive, but this indicator is still far from the desired level for the effective use of banking products</w:t>
      </w:r>
      <w:r w:rsidR="00BD0946" w:rsidRPr="003C7891">
        <w:rPr>
          <w:lang w:val="en-US"/>
        </w:rPr>
        <w:t>.</w:t>
      </w:r>
    </w:p>
    <w:p w14:paraId="6ACBED16" w14:textId="77777777" w:rsidR="00585C52" w:rsidRPr="003C7891" w:rsidRDefault="00585C52" w:rsidP="002A636A">
      <w:pPr>
        <w:spacing w:after="0" w:line="360" w:lineRule="auto"/>
        <w:ind w:firstLine="567"/>
        <w:jc w:val="both"/>
        <w:rPr>
          <w:lang w:val="en-US"/>
        </w:rPr>
      </w:pPr>
      <w:r w:rsidRPr="003C7891">
        <w:rPr>
          <w:lang w:val="en-US"/>
        </w:rPr>
        <w:t>Challenges to financial inclusion and the resilience of the banking system in Ukraine require comprehensive approaches. It is necessary to develop digital services and ensure access to financial services in rural areas. Increasing confidence in the banking system and financial education of the population is important.</w:t>
      </w:r>
    </w:p>
    <w:p w14:paraId="10AE4C6F" w14:textId="4DA5D1C5" w:rsidR="00585C52" w:rsidRPr="003C7891" w:rsidRDefault="00585C52" w:rsidP="00585C52">
      <w:pPr>
        <w:spacing w:after="0" w:line="360" w:lineRule="auto"/>
        <w:ind w:firstLine="567"/>
        <w:jc w:val="both"/>
        <w:rPr>
          <w:lang w:val="en-US"/>
        </w:rPr>
      </w:pPr>
      <w:r w:rsidRPr="003C7891">
        <w:rPr>
          <w:lang w:val="en-US"/>
        </w:rPr>
        <w:t xml:space="preserve">To strengthen the resilience of banks, the NBU will continue to reduce the share of non-performing loans and implement effective risk management. It is important to maintain an adequate level of </w:t>
      </w:r>
      <w:r w:rsidRPr="003C7891">
        <w:rPr>
          <w:lang w:val="en-US"/>
        </w:rPr>
        <w:t>capitalization</w:t>
      </w:r>
      <w:r w:rsidRPr="003C7891">
        <w:rPr>
          <w:lang w:val="en-US"/>
        </w:rPr>
        <w:t xml:space="preserve"> of banks and reduce their dependence on external financial sources. The prospects for the development of financial inclusion and enhancing bank resilience include:</w:t>
      </w:r>
    </w:p>
    <w:p w14:paraId="7C155777" w14:textId="473E6CBB"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t>implementation of fintech solutions: development of mobile banking, digital wallets and payment platforms</w:t>
      </w:r>
      <w:r w:rsidR="002A636A" w:rsidRPr="003C7891">
        <w:rPr>
          <w:lang w:val="en-US"/>
        </w:rPr>
        <w:t>;</w:t>
      </w:r>
    </w:p>
    <w:p w14:paraId="59C96558" w14:textId="04BBCF73"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t>government and regulatory initiatives to promote inclusion</w:t>
      </w:r>
      <w:r w:rsidR="002A636A" w:rsidRPr="003C7891">
        <w:rPr>
          <w:lang w:val="en-US"/>
        </w:rPr>
        <w:t>;</w:t>
      </w:r>
    </w:p>
    <w:p w14:paraId="1E41B737" w14:textId="3BC70037"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t xml:space="preserve">development of financial education </w:t>
      </w:r>
      <w:r w:rsidR="003C7891" w:rsidRPr="003C7891">
        <w:rPr>
          <w:lang w:val="en-US"/>
        </w:rPr>
        <w:t>programs</w:t>
      </w:r>
      <w:r w:rsidRPr="003C7891">
        <w:rPr>
          <w:lang w:val="en-US"/>
        </w:rPr>
        <w:t xml:space="preserve"> for citizens and entrepreneurs</w:t>
      </w:r>
      <w:r w:rsidR="002A636A" w:rsidRPr="003C7891">
        <w:rPr>
          <w:lang w:val="en-US"/>
        </w:rPr>
        <w:t>;</w:t>
      </w:r>
    </w:p>
    <w:p w14:paraId="5A1E6F14" w14:textId="37C9FD00" w:rsidR="00BD0946" w:rsidRPr="003C7891" w:rsidRDefault="00585C52" w:rsidP="002A636A">
      <w:pPr>
        <w:pStyle w:val="a7"/>
        <w:numPr>
          <w:ilvl w:val="0"/>
          <w:numId w:val="3"/>
        </w:numPr>
        <w:tabs>
          <w:tab w:val="left" w:pos="851"/>
          <w:tab w:val="left" w:pos="993"/>
        </w:tabs>
        <w:spacing w:after="0" w:line="360" w:lineRule="auto"/>
        <w:ind w:left="0" w:firstLine="567"/>
        <w:jc w:val="both"/>
        <w:rPr>
          <w:lang w:val="en-US"/>
        </w:rPr>
      </w:pPr>
      <w:r w:rsidRPr="003C7891">
        <w:rPr>
          <w:lang w:val="en-US"/>
        </w:rPr>
        <w:t xml:space="preserve">creating a </w:t>
      </w:r>
      <w:r w:rsidRPr="003C7891">
        <w:rPr>
          <w:lang w:val="en-US"/>
        </w:rPr>
        <w:t>favorable</w:t>
      </w:r>
      <w:r w:rsidRPr="003C7891">
        <w:rPr>
          <w:lang w:val="en-US"/>
        </w:rPr>
        <w:t xml:space="preserve"> regulatory environment for attracting foreign investment in the banking sector</w:t>
      </w:r>
      <w:r w:rsidR="00BD0946" w:rsidRPr="003C7891">
        <w:rPr>
          <w:lang w:val="en-US"/>
        </w:rPr>
        <w:t>.</w:t>
      </w:r>
    </w:p>
    <w:p w14:paraId="506B8794" w14:textId="77777777" w:rsidR="00585C52" w:rsidRPr="003C7891" w:rsidRDefault="00585C52" w:rsidP="00585C52">
      <w:pPr>
        <w:spacing w:after="0" w:line="360" w:lineRule="auto"/>
        <w:ind w:firstLine="567"/>
        <w:jc w:val="both"/>
        <w:rPr>
          <w:lang w:val="en-US"/>
        </w:rPr>
      </w:pPr>
      <w:r w:rsidRPr="003C7891">
        <w:rPr>
          <w:lang w:val="en-US"/>
        </w:rPr>
        <w:t>In order to achieve the above goals, a number of specific initiatives need to be implemented to ensure that financial inclusion is integrated into the development strategies of the banking system.</w:t>
      </w:r>
    </w:p>
    <w:p w14:paraId="4DD19024" w14:textId="2EA888B4" w:rsidR="00BD0946" w:rsidRPr="003C7891" w:rsidRDefault="003C7891" w:rsidP="0042169F">
      <w:pPr>
        <w:pStyle w:val="a7"/>
        <w:numPr>
          <w:ilvl w:val="0"/>
          <w:numId w:val="3"/>
        </w:numPr>
        <w:tabs>
          <w:tab w:val="left" w:pos="851"/>
          <w:tab w:val="left" w:pos="993"/>
        </w:tabs>
        <w:spacing w:after="0" w:line="360" w:lineRule="auto"/>
        <w:ind w:left="0" w:firstLine="567"/>
        <w:jc w:val="both"/>
        <w:rPr>
          <w:lang w:val="en-US"/>
        </w:rPr>
      </w:pPr>
      <w:r w:rsidRPr="003C7891">
        <w:rPr>
          <w:lang w:val="en-US"/>
        </w:rPr>
        <w:t>investment in digital infrastructure: banks need to allocate resources to the development of modern digital platforms and technologies that will ensure increased accessibility and convenience of banking services</w:t>
      </w:r>
      <w:r w:rsidR="0042169F" w:rsidRPr="003C7891">
        <w:rPr>
          <w:lang w:val="en-US"/>
        </w:rPr>
        <w:t>;</w:t>
      </w:r>
    </w:p>
    <w:p w14:paraId="7B938B8B" w14:textId="0C683F7A" w:rsidR="00BD0946" w:rsidRPr="003C7891" w:rsidRDefault="003C7891" w:rsidP="0042169F">
      <w:pPr>
        <w:pStyle w:val="a7"/>
        <w:numPr>
          <w:ilvl w:val="0"/>
          <w:numId w:val="3"/>
        </w:numPr>
        <w:tabs>
          <w:tab w:val="left" w:pos="851"/>
          <w:tab w:val="left" w:pos="993"/>
        </w:tabs>
        <w:spacing w:after="0" w:line="360" w:lineRule="auto"/>
        <w:ind w:left="0" w:firstLine="567"/>
        <w:jc w:val="both"/>
        <w:rPr>
          <w:lang w:val="en-US"/>
        </w:rPr>
      </w:pPr>
      <w:r w:rsidRPr="003C7891">
        <w:rPr>
          <w:lang w:val="en-US"/>
        </w:rPr>
        <w:t>strengthening cooperation: it is important to strengthen partnerships between banking institutions, government agencies and financial technology companies</w:t>
      </w:r>
      <w:r w:rsidR="00CA54C7" w:rsidRPr="003C7891">
        <w:rPr>
          <w:lang w:val="en-US"/>
        </w:rPr>
        <w:t>;</w:t>
      </w:r>
    </w:p>
    <w:p w14:paraId="665D44DC" w14:textId="2DC28B9B" w:rsidR="00BD0946" w:rsidRPr="003C7891" w:rsidRDefault="003C7891" w:rsidP="0042169F">
      <w:pPr>
        <w:pStyle w:val="a7"/>
        <w:numPr>
          <w:ilvl w:val="0"/>
          <w:numId w:val="3"/>
        </w:numPr>
        <w:tabs>
          <w:tab w:val="left" w:pos="851"/>
          <w:tab w:val="left" w:pos="993"/>
        </w:tabs>
        <w:spacing w:after="0" w:line="360" w:lineRule="auto"/>
        <w:ind w:left="0" w:firstLine="567"/>
        <w:jc w:val="both"/>
        <w:rPr>
          <w:lang w:val="en-US"/>
        </w:rPr>
      </w:pPr>
      <w:r w:rsidRPr="003C7891">
        <w:rPr>
          <w:lang w:val="en-US"/>
        </w:rPr>
        <w:t>support of the NBU: The National Bank of Ukraine should introduce new risk management mechanisms to reduce credit losses of banks</w:t>
      </w:r>
      <w:r w:rsidR="0042169F" w:rsidRPr="003C7891">
        <w:rPr>
          <w:lang w:val="en-US"/>
        </w:rPr>
        <w:t>;</w:t>
      </w:r>
    </w:p>
    <w:p w14:paraId="2327A562" w14:textId="0FFB8F83" w:rsidR="00BD0946" w:rsidRPr="003C7891" w:rsidRDefault="003C7891" w:rsidP="0042169F">
      <w:pPr>
        <w:pStyle w:val="a7"/>
        <w:numPr>
          <w:ilvl w:val="0"/>
          <w:numId w:val="3"/>
        </w:numPr>
        <w:tabs>
          <w:tab w:val="left" w:pos="851"/>
          <w:tab w:val="left" w:pos="993"/>
        </w:tabs>
        <w:spacing w:after="0" w:line="360" w:lineRule="auto"/>
        <w:ind w:left="0" w:firstLine="567"/>
        <w:jc w:val="both"/>
        <w:rPr>
          <w:lang w:val="en-US"/>
        </w:rPr>
      </w:pPr>
      <w:r w:rsidRPr="003C7891">
        <w:rPr>
          <w:lang w:val="en-US"/>
        </w:rPr>
        <w:lastRenderedPageBreak/>
        <w:t xml:space="preserve">use of international experience: it is recommended to adapt international practices and </w:t>
      </w:r>
      <w:r w:rsidRPr="003C7891">
        <w:rPr>
          <w:lang w:val="en-US"/>
        </w:rPr>
        <w:t>programs</w:t>
      </w:r>
      <w:r w:rsidRPr="003C7891">
        <w:rPr>
          <w:lang w:val="en-US"/>
        </w:rPr>
        <w:t xml:space="preserve"> that have proven effective in financial inclusion and crisis management</w:t>
      </w:r>
      <w:r w:rsidR="00BD0946" w:rsidRPr="003C7891">
        <w:rPr>
          <w:lang w:val="en-US"/>
        </w:rPr>
        <w:t>.</w:t>
      </w:r>
    </w:p>
    <w:p w14:paraId="724DB373" w14:textId="77777777" w:rsidR="003C7891" w:rsidRPr="003C7891" w:rsidRDefault="003C7891" w:rsidP="003C7891">
      <w:pPr>
        <w:spacing w:after="0" w:line="360" w:lineRule="auto"/>
        <w:ind w:firstLine="567"/>
        <w:jc w:val="both"/>
        <w:rPr>
          <w:lang w:val="en-US"/>
        </w:rPr>
      </w:pPr>
      <w:r w:rsidRPr="003C7891">
        <w:rPr>
          <w:lang w:val="en-US"/>
        </w:rPr>
        <w:t>Thus, financial inclusion and the resilience of Ukraine's banking system are critical elements for ensuring economic development and social stability. The current challenges faced by the Ukrainian banking system require a comprehensive approach, including investments in digital technologies, enhanced cooperation between banks, the government and financial technology companies, and the introduction of new risk management mechanisms.</w:t>
      </w:r>
      <w:r w:rsidRPr="003C7891">
        <w:rPr>
          <w:lang w:val="en-US"/>
        </w:rPr>
        <w:t xml:space="preserve"> </w:t>
      </w:r>
      <w:r w:rsidRPr="003C7891">
        <w:rPr>
          <w:lang w:val="en-US"/>
        </w:rPr>
        <w:t>Effective financial inclusion can significantly improve access to banking services, promote the development of small and medium-sized businesses, and increase confidence in the financial system. However, to achieve these goals, international experience should be taken into account and adapted to Ukrainian realities.</w:t>
      </w:r>
      <w:r w:rsidRPr="003C7891">
        <w:rPr>
          <w:lang w:val="en-US"/>
        </w:rPr>
        <w:t xml:space="preserve"> </w:t>
      </w:r>
    </w:p>
    <w:p w14:paraId="2C1D9E06" w14:textId="72A9AC8E" w:rsidR="00EF47F2" w:rsidRPr="003C7891" w:rsidRDefault="00EF47F2" w:rsidP="003C7891">
      <w:pPr>
        <w:spacing w:after="0" w:line="360" w:lineRule="auto"/>
        <w:ind w:firstLine="567"/>
        <w:jc w:val="center"/>
        <w:rPr>
          <w:szCs w:val="28"/>
          <w:lang w:val="en-US"/>
        </w:rPr>
      </w:pPr>
      <w:r w:rsidRPr="003C7891">
        <w:rPr>
          <w:szCs w:val="28"/>
          <w:lang w:val="en-US"/>
        </w:rPr>
        <w:t>Sources</w:t>
      </w:r>
    </w:p>
    <w:p w14:paraId="160EC9A4" w14:textId="0EE764FA" w:rsidR="00624B85" w:rsidRPr="003C7891" w:rsidRDefault="00624B85" w:rsidP="00624B85">
      <w:pPr>
        <w:pStyle w:val="a7"/>
        <w:numPr>
          <w:ilvl w:val="0"/>
          <w:numId w:val="18"/>
        </w:numPr>
        <w:tabs>
          <w:tab w:val="left" w:pos="851"/>
        </w:tabs>
        <w:spacing w:after="0" w:line="360" w:lineRule="auto"/>
        <w:ind w:left="0" w:firstLine="567"/>
        <w:jc w:val="both"/>
        <w:rPr>
          <w:lang w:val="en-US"/>
        </w:rPr>
      </w:pPr>
      <w:r w:rsidRPr="003C7891">
        <w:rPr>
          <w:lang w:val="en-US"/>
        </w:rPr>
        <w:t>Vasilieva</w:t>
      </w:r>
      <w:r w:rsidR="006D1659" w:rsidRPr="003C7891">
        <w:rPr>
          <w:lang w:val="en-US"/>
        </w:rPr>
        <w:t>,</w:t>
      </w:r>
      <w:r w:rsidRPr="003C7891">
        <w:rPr>
          <w:lang w:val="en-US"/>
        </w:rPr>
        <w:t xml:space="preserve"> Kh., Liubarets</w:t>
      </w:r>
      <w:r w:rsidR="006D1659" w:rsidRPr="003C7891">
        <w:rPr>
          <w:lang w:val="en-US"/>
        </w:rPr>
        <w:t>,</w:t>
      </w:r>
      <w:r w:rsidRPr="003C7891">
        <w:rPr>
          <w:lang w:val="en-US"/>
        </w:rPr>
        <w:t xml:space="preserve"> V. (2018). Terminological dictionary-inclusion. URL: </w:t>
      </w:r>
      <w:hyperlink r:id="rId6" w:tgtFrame="_new" w:history="1">
        <w:r w:rsidRPr="003C7891">
          <w:rPr>
            <w:lang w:val="en-US"/>
          </w:rPr>
          <w:t>https://uvu.org.ua/wp-content/uploads /2021/09/Terminology_2.pdf</w:t>
        </w:r>
      </w:hyperlink>
      <w:r w:rsidRPr="003C7891">
        <w:rPr>
          <w:lang w:val="en-US"/>
        </w:rPr>
        <w:t>.</w:t>
      </w:r>
    </w:p>
    <w:p w14:paraId="1E6AED18" w14:textId="36286DC9" w:rsidR="00FC1647" w:rsidRPr="003C7891" w:rsidRDefault="00FC1647" w:rsidP="00624B85">
      <w:pPr>
        <w:pStyle w:val="a7"/>
        <w:numPr>
          <w:ilvl w:val="0"/>
          <w:numId w:val="18"/>
        </w:numPr>
        <w:tabs>
          <w:tab w:val="left" w:pos="851"/>
        </w:tabs>
        <w:spacing w:after="0" w:line="360" w:lineRule="auto"/>
        <w:ind w:left="0" w:firstLine="567"/>
        <w:jc w:val="both"/>
        <w:rPr>
          <w:lang w:val="en-US"/>
        </w:rPr>
      </w:pPr>
      <w:r w:rsidRPr="003C7891">
        <w:rPr>
          <w:lang w:val="en-US"/>
        </w:rPr>
        <w:t>Zhyvko</w:t>
      </w:r>
      <w:r w:rsidR="006D1659" w:rsidRPr="003C7891">
        <w:rPr>
          <w:lang w:val="en-US"/>
        </w:rPr>
        <w:t>,</w:t>
      </w:r>
      <w:r w:rsidRPr="003C7891">
        <w:rPr>
          <w:lang w:val="en-US"/>
        </w:rPr>
        <w:t xml:space="preserve"> Z., Zachosova</w:t>
      </w:r>
      <w:r w:rsidR="006D1659" w:rsidRPr="003C7891">
        <w:rPr>
          <w:lang w:val="en-US"/>
        </w:rPr>
        <w:t>,</w:t>
      </w:r>
      <w:r w:rsidRPr="003C7891">
        <w:rPr>
          <w:lang w:val="en-US"/>
        </w:rPr>
        <w:t xml:space="preserve"> N. (2019). Financial Inclusion as an Indicator of Management of the Banking Component of the State's Financial Security. </w:t>
      </w:r>
      <w:r w:rsidRPr="003C7891">
        <w:rPr>
          <w:i/>
          <w:iCs/>
          <w:lang w:val="en-US"/>
        </w:rPr>
        <w:t>Financial and Credit Activity: Problems of Theory and Practice</w:t>
      </w:r>
      <w:r w:rsidRPr="003C7891">
        <w:rPr>
          <w:lang w:val="en-US"/>
        </w:rPr>
        <w:t>, 1(28), 354-361.</w:t>
      </w:r>
    </w:p>
    <w:p w14:paraId="667FFEDD" w14:textId="4C3FB1EA" w:rsidR="00FC1647" w:rsidRPr="003C7891" w:rsidRDefault="00FC1647" w:rsidP="00624B85">
      <w:pPr>
        <w:pStyle w:val="a7"/>
        <w:numPr>
          <w:ilvl w:val="0"/>
          <w:numId w:val="18"/>
        </w:numPr>
        <w:tabs>
          <w:tab w:val="left" w:pos="851"/>
        </w:tabs>
        <w:spacing w:after="0" w:line="360" w:lineRule="auto"/>
        <w:ind w:left="0" w:firstLine="567"/>
        <w:jc w:val="both"/>
        <w:rPr>
          <w:lang w:val="en-US"/>
        </w:rPr>
      </w:pPr>
      <w:r w:rsidRPr="003C7891">
        <w:rPr>
          <w:lang w:val="en-US"/>
        </w:rPr>
        <w:t xml:space="preserve">Zakharkin, O., Boronos, V. (2019). Financial inclusion as a driving force for ensuring the financial security of Ukraine. </w:t>
      </w:r>
      <w:r w:rsidRPr="003C7891">
        <w:rPr>
          <w:i/>
          <w:iCs/>
          <w:lang w:val="en-US"/>
        </w:rPr>
        <w:t>Herald of Sumy State University</w:t>
      </w:r>
      <w:r w:rsidR="00822A16" w:rsidRPr="003C7891">
        <w:rPr>
          <w:lang w:val="en-US"/>
        </w:rPr>
        <w:t xml:space="preserve">, </w:t>
      </w:r>
      <w:r w:rsidRPr="003C7891">
        <w:rPr>
          <w:lang w:val="en-US"/>
        </w:rPr>
        <w:t>1, 43-53.</w:t>
      </w:r>
    </w:p>
    <w:p w14:paraId="6A3E7410" w14:textId="016AA33B" w:rsidR="00FC1647" w:rsidRPr="003C7891" w:rsidRDefault="00FC1647" w:rsidP="00624B85">
      <w:pPr>
        <w:pStyle w:val="a7"/>
        <w:numPr>
          <w:ilvl w:val="0"/>
          <w:numId w:val="18"/>
        </w:numPr>
        <w:tabs>
          <w:tab w:val="left" w:pos="851"/>
        </w:tabs>
        <w:spacing w:after="0" w:line="360" w:lineRule="auto"/>
        <w:ind w:left="0" w:firstLine="567"/>
        <w:jc w:val="both"/>
        <w:rPr>
          <w:lang w:val="en-US"/>
        </w:rPr>
      </w:pPr>
      <w:r w:rsidRPr="003C7891">
        <w:rPr>
          <w:lang w:val="en-US"/>
        </w:rPr>
        <w:t>Naumenko</w:t>
      </w:r>
      <w:r w:rsidR="006D1659" w:rsidRPr="003C7891">
        <w:rPr>
          <w:lang w:val="en-US"/>
        </w:rPr>
        <w:t>,</w:t>
      </w:r>
      <w:r w:rsidRPr="003C7891">
        <w:rPr>
          <w:lang w:val="en-US"/>
        </w:rPr>
        <w:t xml:space="preserve"> S., Mishchenko, S. (2020). Digital financial inclusion. </w:t>
      </w:r>
      <w:r w:rsidRPr="003C7891">
        <w:rPr>
          <w:i/>
          <w:iCs/>
          <w:lang w:val="en-US"/>
        </w:rPr>
        <w:t>Scientific Bulletin of Odesa National Economic University</w:t>
      </w:r>
      <w:r w:rsidRPr="003C7891">
        <w:rPr>
          <w:lang w:val="en-US"/>
        </w:rPr>
        <w:t>, 1-2 (274-275), 133-149.</w:t>
      </w:r>
    </w:p>
    <w:p w14:paraId="79120AB6" w14:textId="4C16D4A7" w:rsidR="00624B85" w:rsidRPr="003C7891" w:rsidRDefault="00FC1647" w:rsidP="00624B85">
      <w:pPr>
        <w:pStyle w:val="a7"/>
        <w:numPr>
          <w:ilvl w:val="0"/>
          <w:numId w:val="18"/>
        </w:numPr>
        <w:tabs>
          <w:tab w:val="left" w:pos="851"/>
        </w:tabs>
        <w:spacing w:after="0" w:line="360" w:lineRule="auto"/>
        <w:ind w:left="0" w:firstLine="567"/>
        <w:jc w:val="both"/>
        <w:rPr>
          <w:lang w:val="en-US"/>
        </w:rPr>
      </w:pPr>
      <w:r w:rsidRPr="003C7891">
        <w:rPr>
          <w:lang w:val="en-US"/>
        </w:rPr>
        <w:t xml:space="preserve">Kuzmenko, A. (2021). Digital transformation of banking: challenges and opportunities for financial inclusion in Ukraine. </w:t>
      </w:r>
      <w:r w:rsidRPr="003C7891">
        <w:rPr>
          <w:i/>
          <w:iCs/>
          <w:lang w:val="en-US"/>
        </w:rPr>
        <w:t>Review of Banking and Finance</w:t>
      </w:r>
      <w:r w:rsidRPr="003C7891">
        <w:rPr>
          <w:lang w:val="en-US"/>
        </w:rPr>
        <w:t xml:space="preserve">, 7(1), 24-37. </w:t>
      </w:r>
      <w:r w:rsidR="00624B85" w:rsidRPr="003C7891">
        <w:rPr>
          <w:lang w:val="en-US"/>
        </w:rPr>
        <w:t>URL: https://doi.org/10.5018/bfr.v7i1</w:t>
      </w:r>
      <w:r w:rsidR="006D1659" w:rsidRPr="003C7891">
        <w:rPr>
          <w:lang w:val="en-US"/>
        </w:rPr>
        <w:t>.</w:t>
      </w:r>
      <w:r w:rsidR="00624B85" w:rsidRPr="003C7891">
        <w:rPr>
          <w:lang w:val="en-US"/>
        </w:rPr>
        <w:t>1210.</w:t>
      </w:r>
    </w:p>
    <w:p w14:paraId="4431CF4B" w14:textId="10342D1D" w:rsidR="00624B85" w:rsidRPr="003C7891" w:rsidRDefault="00624B85" w:rsidP="00624B85">
      <w:pPr>
        <w:pStyle w:val="a7"/>
        <w:numPr>
          <w:ilvl w:val="0"/>
          <w:numId w:val="18"/>
        </w:numPr>
        <w:tabs>
          <w:tab w:val="left" w:pos="851"/>
        </w:tabs>
        <w:spacing w:after="0" w:line="360" w:lineRule="auto"/>
        <w:ind w:left="0" w:firstLine="567"/>
        <w:jc w:val="both"/>
        <w:rPr>
          <w:lang w:val="en-US"/>
        </w:rPr>
      </w:pPr>
      <w:r w:rsidRPr="003C7891">
        <w:rPr>
          <w:lang w:val="en-US"/>
        </w:rPr>
        <w:t xml:space="preserve">OECD (2019). </w:t>
      </w:r>
      <w:r w:rsidR="00FC1647" w:rsidRPr="003C7891">
        <w:rPr>
          <w:lang w:val="en-US"/>
        </w:rPr>
        <w:t>Financial inclusion: the role of digital finance in improving access to financial services</w:t>
      </w:r>
      <w:r w:rsidRPr="003C7891">
        <w:rPr>
          <w:lang w:val="en-US"/>
        </w:rPr>
        <w:t>. URL: https:</w:t>
      </w:r>
      <w:r w:rsidR="00FC1647" w:rsidRPr="003C7891">
        <w:rPr>
          <w:lang w:val="en-US"/>
        </w:rPr>
        <w:t xml:space="preserve"> </w:t>
      </w:r>
      <w:r w:rsidRPr="003C7891">
        <w:rPr>
          <w:lang w:val="en-US"/>
        </w:rPr>
        <w:t>//doi.org/10.1787 /5jrs5j77g0xx-en.</w:t>
      </w:r>
    </w:p>
    <w:p w14:paraId="05E1BCB8" w14:textId="77777777" w:rsidR="00822A16" w:rsidRPr="003C7891" w:rsidRDefault="00FC1647" w:rsidP="001E1BFA">
      <w:pPr>
        <w:pStyle w:val="a7"/>
        <w:numPr>
          <w:ilvl w:val="0"/>
          <w:numId w:val="18"/>
        </w:numPr>
        <w:tabs>
          <w:tab w:val="left" w:pos="851"/>
        </w:tabs>
        <w:spacing w:after="0" w:line="360" w:lineRule="auto"/>
        <w:ind w:left="0" w:firstLine="567"/>
        <w:jc w:val="both"/>
        <w:rPr>
          <w:lang w:val="en-US"/>
        </w:rPr>
      </w:pPr>
      <w:r w:rsidRPr="003C7891">
        <w:rPr>
          <w:lang w:val="en-US"/>
        </w:rPr>
        <w:t xml:space="preserve">Sarma, M. and Pais, J. (2020). Financial inclusion and development: a cross-country analysis. </w:t>
      </w:r>
      <w:r w:rsidRPr="003C7891">
        <w:rPr>
          <w:i/>
          <w:iCs/>
          <w:lang w:val="en-US"/>
        </w:rPr>
        <w:t>Journal of Financial Economic Policy</w:t>
      </w:r>
      <w:r w:rsidRPr="003C7891">
        <w:rPr>
          <w:lang w:val="en-US"/>
        </w:rPr>
        <w:t>, 12 (4), 635-654.</w:t>
      </w:r>
      <w:r w:rsidR="00624B85" w:rsidRPr="003C7891">
        <w:rPr>
          <w:lang w:val="en-US"/>
        </w:rPr>
        <w:t xml:space="preserve"> </w:t>
      </w:r>
    </w:p>
    <w:p w14:paraId="48DB37A5" w14:textId="488214F6" w:rsidR="00624B85" w:rsidRPr="003C7891" w:rsidRDefault="00FC1647" w:rsidP="001E1BFA">
      <w:pPr>
        <w:pStyle w:val="a7"/>
        <w:numPr>
          <w:ilvl w:val="0"/>
          <w:numId w:val="18"/>
        </w:numPr>
        <w:tabs>
          <w:tab w:val="left" w:pos="851"/>
        </w:tabs>
        <w:spacing w:after="0" w:line="360" w:lineRule="auto"/>
        <w:ind w:left="0" w:firstLine="567"/>
        <w:jc w:val="both"/>
        <w:rPr>
          <w:lang w:val="en-US"/>
        </w:rPr>
      </w:pPr>
      <w:r w:rsidRPr="003C7891">
        <w:rPr>
          <w:lang w:val="en-US"/>
        </w:rPr>
        <w:lastRenderedPageBreak/>
        <w:t xml:space="preserve">World Bank </w:t>
      </w:r>
      <w:r w:rsidR="00624B85" w:rsidRPr="003C7891">
        <w:rPr>
          <w:lang w:val="en-US"/>
        </w:rPr>
        <w:t xml:space="preserve">(2021). </w:t>
      </w:r>
      <w:r w:rsidRPr="003C7891">
        <w:rPr>
          <w:lang w:val="en-US"/>
        </w:rPr>
        <w:t>Financial inclusion overview</w:t>
      </w:r>
      <w:r w:rsidR="00624B85" w:rsidRPr="003C7891">
        <w:rPr>
          <w:lang w:val="en-US"/>
        </w:rPr>
        <w:t xml:space="preserve">. URL: </w:t>
      </w:r>
      <w:hyperlink r:id="rId7" w:tgtFrame="_new" w:history="1">
        <w:r w:rsidR="00624B85" w:rsidRPr="003C7891">
          <w:rPr>
            <w:lang w:val="en-US"/>
          </w:rPr>
          <w:t>https://www.worldbank</w:t>
        </w:r>
        <w:r w:rsidRPr="003C7891">
          <w:rPr>
            <w:lang w:val="en-US"/>
          </w:rPr>
          <w:t>.</w:t>
        </w:r>
        <w:r w:rsidR="00624B85" w:rsidRPr="003C7891">
          <w:rPr>
            <w:lang w:val="en-US"/>
          </w:rPr>
          <w:t>org</w:t>
        </w:r>
        <w:r w:rsidRPr="003C7891">
          <w:rPr>
            <w:lang w:val="en-US"/>
          </w:rPr>
          <w:t>.</w:t>
        </w:r>
        <w:r w:rsidR="00624B85" w:rsidRPr="003C7891">
          <w:rPr>
            <w:lang w:val="en-US"/>
          </w:rPr>
          <w:t>entopic</w:t>
        </w:r>
        <w:r w:rsidRPr="003C7891">
          <w:rPr>
            <w:lang w:val="en-US"/>
          </w:rPr>
          <w:t>.</w:t>
        </w:r>
        <w:r w:rsidR="00624B85" w:rsidRPr="003C7891">
          <w:rPr>
            <w:lang w:val="en-US"/>
          </w:rPr>
          <w:t>financialinclusion/overview</w:t>
        </w:r>
      </w:hyperlink>
      <w:r w:rsidR="00624B85" w:rsidRPr="003C7891">
        <w:rPr>
          <w:lang w:val="en-US"/>
        </w:rPr>
        <w:t>.</w:t>
      </w:r>
    </w:p>
    <w:p w14:paraId="1CF29B5F" w14:textId="36659820" w:rsidR="00624B85" w:rsidRPr="003C7891" w:rsidRDefault="00FC1647" w:rsidP="00624B85">
      <w:pPr>
        <w:pStyle w:val="a7"/>
        <w:numPr>
          <w:ilvl w:val="0"/>
          <w:numId w:val="18"/>
        </w:numPr>
        <w:tabs>
          <w:tab w:val="left" w:pos="851"/>
        </w:tabs>
        <w:spacing w:after="0" w:line="360" w:lineRule="auto"/>
        <w:ind w:left="0" w:firstLine="567"/>
        <w:jc w:val="both"/>
        <w:rPr>
          <w:lang w:val="en-US"/>
        </w:rPr>
      </w:pPr>
      <w:r w:rsidRPr="003C7891">
        <w:rPr>
          <w:lang w:val="en-US"/>
        </w:rPr>
        <w:t xml:space="preserve">Strategy for the Development of the Financial Sector of Ukraine until 2025. </w:t>
      </w:r>
      <w:r w:rsidRPr="003C7891">
        <w:rPr>
          <w:i/>
          <w:iCs/>
          <w:lang w:val="en-US"/>
        </w:rPr>
        <w:t>Ministry of Finance of Ukraine, National Bank of Ukraine</w:t>
      </w:r>
      <w:r w:rsidRPr="003C7891">
        <w:rPr>
          <w:lang w:val="en-US"/>
        </w:rPr>
        <w:t xml:space="preserve">. URL: </w:t>
      </w:r>
      <w:hyperlink r:id="rId8" w:tgtFrame="_new" w:history="1">
        <w:r w:rsidR="00624B85" w:rsidRPr="003C7891">
          <w:rPr>
            <w:lang w:val="en-US"/>
          </w:rPr>
          <w:t>https://mof.gov.ua/storage /files /Strategija_financovogo_sectoru_ua.pdf</w:t>
        </w:r>
      </w:hyperlink>
      <w:r w:rsidR="00624B85" w:rsidRPr="003C7891">
        <w:rPr>
          <w:lang w:val="en-US"/>
        </w:rPr>
        <w:t xml:space="preserve"> .</w:t>
      </w:r>
    </w:p>
    <w:p w14:paraId="223F4A9A" w14:textId="3289F659" w:rsidR="00624B85" w:rsidRPr="003C7891" w:rsidRDefault="00FC1647" w:rsidP="00624B85">
      <w:pPr>
        <w:pStyle w:val="a7"/>
        <w:numPr>
          <w:ilvl w:val="0"/>
          <w:numId w:val="18"/>
        </w:numPr>
        <w:tabs>
          <w:tab w:val="left" w:pos="709"/>
          <w:tab w:val="left" w:pos="993"/>
        </w:tabs>
        <w:spacing w:after="0" w:line="360" w:lineRule="auto"/>
        <w:ind w:left="0" w:firstLine="567"/>
        <w:jc w:val="both"/>
        <w:rPr>
          <w:lang w:val="en-US"/>
        </w:rPr>
      </w:pPr>
      <w:r w:rsidRPr="003C7891">
        <w:rPr>
          <w:lang w:val="en-US"/>
        </w:rPr>
        <w:t>Zhou, M. and Mervosh, S. (2019). The role of digital finance in financial inclusion.</w:t>
      </w:r>
      <w:r w:rsidR="00624B85" w:rsidRPr="003C7891">
        <w:rPr>
          <w:lang w:val="en-US"/>
        </w:rPr>
        <w:t xml:space="preserve"> </w:t>
      </w:r>
      <w:r w:rsidR="00624B85" w:rsidRPr="003C7891">
        <w:rPr>
          <w:i/>
          <w:iCs/>
          <w:lang w:val="en-US"/>
        </w:rPr>
        <w:t>Finance Research Letters</w:t>
      </w:r>
      <w:r w:rsidR="00624B85" w:rsidRPr="003C7891">
        <w:rPr>
          <w:lang w:val="en-US"/>
        </w:rPr>
        <w:t>, 29</w:t>
      </w:r>
      <w:r w:rsidRPr="003C7891">
        <w:rPr>
          <w:lang w:val="en-US"/>
        </w:rPr>
        <w:t xml:space="preserve">, </w:t>
      </w:r>
      <w:r w:rsidR="00624B85" w:rsidRPr="003C7891">
        <w:rPr>
          <w:lang w:val="en-US"/>
        </w:rPr>
        <w:t>45-51. URL: https://doi.org /10.1016 /j.frl.2018.10.013.</w:t>
      </w:r>
    </w:p>
    <w:p w14:paraId="711DCD89" w14:textId="7CA2E4E5" w:rsidR="00624B85" w:rsidRPr="003C7891" w:rsidRDefault="00FC1647" w:rsidP="00624B85">
      <w:pPr>
        <w:pStyle w:val="a7"/>
        <w:numPr>
          <w:ilvl w:val="0"/>
          <w:numId w:val="18"/>
        </w:numPr>
        <w:tabs>
          <w:tab w:val="left" w:pos="709"/>
          <w:tab w:val="left" w:pos="993"/>
        </w:tabs>
        <w:spacing w:after="0" w:line="360" w:lineRule="auto"/>
        <w:ind w:left="0" w:firstLine="567"/>
        <w:jc w:val="both"/>
        <w:rPr>
          <w:lang w:val="en-US"/>
        </w:rPr>
      </w:pPr>
      <w:r w:rsidRPr="003C7891">
        <w:rPr>
          <w:lang w:val="en-US"/>
        </w:rPr>
        <w:t>Khan</w:t>
      </w:r>
      <w:r w:rsidR="006D1659" w:rsidRPr="003C7891">
        <w:rPr>
          <w:lang w:val="en-US"/>
        </w:rPr>
        <w:t>,</w:t>
      </w:r>
      <w:r w:rsidRPr="003C7891">
        <w:rPr>
          <w:lang w:val="en-US"/>
        </w:rPr>
        <w:t xml:space="preserve"> M., Ali</w:t>
      </w:r>
      <w:r w:rsidR="006D1659" w:rsidRPr="003C7891">
        <w:rPr>
          <w:lang w:val="en-US"/>
        </w:rPr>
        <w:t>/,</w:t>
      </w:r>
      <w:r w:rsidRPr="003C7891">
        <w:rPr>
          <w:lang w:val="en-US"/>
        </w:rPr>
        <w:t xml:space="preserve"> N. (2020). Financial inclusion and economic growth: a literature review. </w:t>
      </w:r>
      <w:r w:rsidR="00624B85" w:rsidRPr="003C7891">
        <w:rPr>
          <w:i/>
          <w:iCs/>
          <w:lang w:val="en-US"/>
        </w:rPr>
        <w:t>Journal of Financial Stability</w:t>
      </w:r>
      <w:r w:rsidR="00624B85" w:rsidRPr="003C7891">
        <w:rPr>
          <w:lang w:val="en-US"/>
        </w:rPr>
        <w:t>, 50, 54. URL: https://doi.org/10.1016/j.jfs.2020.100754.</w:t>
      </w:r>
    </w:p>
    <w:p w14:paraId="5CD549D8" w14:textId="77777777" w:rsidR="00EF47F2" w:rsidRPr="003C7891" w:rsidRDefault="00EF47F2" w:rsidP="00624B85">
      <w:pPr>
        <w:spacing w:after="0" w:line="360" w:lineRule="auto"/>
        <w:ind w:left="567"/>
        <w:jc w:val="both"/>
        <w:rPr>
          <w:lang w:val="en-US"/>
        </w:rPr>
      </w:pPr>
    </w:p>
    <w:sectPr w:rsidR="00EF47F2" w:rsidRPr="003C7891" w:rsidSect="00E0099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275E"/>
    <w:multiLevelType w:val="multilevel"/>
    <w:tmpl w:val="FF2E1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4133CC"/>
    <w:multiLevelType w:val="multilevel"/>
    <w:tmpl w:val="B0A2D4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52CCB"/>
    <w:multiLevelType w:val="multilevel"/>
    <w:tmpl w:val="33AE1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2B500A"/>
    <w:multiLevelType w:val="hybridMultilevel"/>
    <w:tmpl w:val="BE1E3D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34B4AE3"/>
    <w:multiLevelType w:val="multilevel"/>
    <w:tmpl w:val="6D769F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D351EA"/>
    <w:multiLevelType w:val="multilevel"/>
    <w:tmpl w:val="806C5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5B118AA"/>
    <w:multiLevelType w:val="multilevel"/>
    <w:tmpl w:val="E078F3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F66476B"/>
    <w:multiLevelType w:val="hybridMultilevel"/>
    <w:tmpl w:val="205E2F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1377373"/>
    <w:multiLevelType w:val="multilevel"/>
    <w:tmpl w:val="CAFA6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673DA9"/>
    <w:multiLevelType w:val="multilevel"/>
    <w:tmpl w:val="B0A2D4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9E459F9"/>
    <w:multiLevelType w:val="hybridMultilevel"/>
    <w:tmpl w:val="CA3CFA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B50520E"/>
    <w:multiLevelType w:val="multilevel"/>
    <w:tmpl w:val="6B287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8274BE"/>
    <w:multiLevelType w:val="multilevel"/>
    <w:tmpl w:val="E0C6B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AF03947"/>
    <w:multiLevelType w:val="hybridMultilevel"/>
    <w:tmpl w:val="18B07DDA"/>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6B765A5D"/>
    <w:multiLevelType w:val="hybridMultilevel"/>
    <w:tmpl w:val="F4B6A25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77E319A5"/>
    <w:multiLevelType w:val="multilevel"/>
    <w:tmpl w:val="19E4A3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B8143F1"/>
    <w:multiLevelType w:val="hybridMultilevel"/>
    <w:tmpl w:val="6E285AC4"/>
    <w:lvl w:ilvl="0" w:tplc="6F34898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7DFC0494"/>
    <w:multiLevelType w:val="hybridMultilevel"/>
    <w:tmpl w:val="B79ECE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3"/>
  </w:num>
  <w:num w:numId="2">
    <w:abstractNumId w:val="2"/>
  </w:num>
  <w:num w:numId="3">
    <w:abstractNumId w:val="16"/>
  </w:num>
  <w:num w:numId="4">
    <w:abstractNumId w:val="8"/>
  </w:num>
  <w:num w:numId="5">
    <w:abstractNumId w:val="1"/>
  </w:num>
  <w:num w:numId="6">
    <w:abstractNumId w:val="12"/>
  </w:num>
  <w:num w:numId="7">
    <w:abstractNumId w:val="6"/>
  </w:num>
  <w:num w:numId="8">
    <w:abstractNumId w:val="4"/>
  </w:num>
  <w:num w:numId="9">
    <w:abstractNumId w:val="5"/>
  </w:num>
  <w:num w:numId="10">
    <w:abstractNumId w:val="11"/>
  </w:num>
  <w:num w:numId="11">
    <w:abstractNumId w:val="0"/>
  </w:num>
  <w:num w:numId="12">
    <w:abstractNumId w:val="9"/>
  </w:num>
  <w:num w:numId="13">
    <w:abstractNumId w:val="15"/>
  </w:num>
  <w:num w:numId="14">
    <w:abstractNumId w:val="3"/>
  </w:num>
  <w:num w:numId="15">
    <w:abstractNumId w:val="10"/>
  </w:num>
  <w:num w:numId="16">
    <w:abstractNumId w:val="17"/>
  </w:num>
  <w:num w:numId="17">
    <w:abstractNumId w:val="7"/>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E09"/>
    <w:rsid w:val="00040E09"/>
    <w:rsid w:val="00065E87"/>
    <w:rsid w:val="000754E5"/>
    <w:rsid w:val="000869D4"/>
    <w:rsid w:val="000900D8"/>
    <w:rsid w:val="000B12A2"/>
    <w:rsid w:val="000C0F0F"/>
    <w:rsid w:val="00124D1F"/>
    <w:rsid w:val="00163C13"/>
    <w:rsid w:val="001A2E61"/>
    <w:rsid w:val="001D5151"/>
    <w:rsid w:val="001D5E65"/>
    <w:rsid w:val="00202BAF"/>
    <w:rsid w:val="0026471A"/>
    <w:rsid w:val="00271224"/>
    <w:rsid w:val="002A636A"/>
    <w:rsid w:val="002B6617"/>
    <w:rsid w:val="003203B9"/>
    <w:rsid w:val="0034456F"/>
    <w:rsid w:val="003524C5"/>
    <w:rsid w:val="00370699"/>
    <w:rsid w:val="003812C6"/>
    <w:rsid w:val="00396F17"/>
    <w:rsid w:val="003C5D1F"/>
    <w:rsid w:val="003C7891"/>
    <w:rsid w:val="003D0B53"/>
    <w:rsid w:val="0042169F"/>
    <w:rsid w:val="00424681"/>
    <w:rsid w:val="004348C6"/>
    <w:rsid w:val="00460487"/>
    <w:rsid w:val="00466377"/>
    <w:rsid w:val="0047151C"/>
    <w:rsid w:val="00481DF6"/>
    <w:rsid w:val="00484DC3"/>
    <w:rsid w:val="00490789"/>
    <w:rsid w:val="004A0B83"/>
    <w:rsid w:val="004A0F18"/>
    <w:rsid w:val="004C3361"/>
    <w:rsid w:val="004C4408"/>
    <w:rsid w:val="004D64D8"/>
    <w:rsid w:val="004F29E5"/>
    <w:rsid w:val="00545FB3"/>
    <w:rsid w:val="00585C52"/>
    <w:rsid w:val="00592DCA"/>
    <w:rsid w:val="00602DE0"/>
    <w:rsid w:val="00624B85"/>
    <w:rsid w:val="006C0B77"/>
    <w:rsid w:val="006D1659"/>
    <w:rsid w:val="006F77D8"/>
    <w:rsid w:val="0070059D"/>
    <w:rsid w:val="00716CE7"/>
    <w:rsid w:val="007437F7"/>
    <w:rsid w:val="00752C3E"/>
    <w:rsid w:val="007940AD"/>
    <w:rsid w:val="007A24A9"/>
    <w:rsid w:val="007F1CB6"/>
    <w:rsid w:val="0082262D"/>
    <w:rsid w:val="00822A16"/>
    <w:rsid w:val="008242FF"/>
    <w:rsid w:val="00867314"/>
    <w:rsid w:val="00870751"/>
    <w:rsid w:val="00922C48"/>
    <w:rsid w:val="00953359"/>
    <w:rsid w:val="009E4769"/>
    <w:rsid w:val="009F7158"/>
    <w:rsid w:val="00A330FB"/>
    <w:rsid w:val="00A978DB"/>
    <w:rsid w:val="00AB598F"/>
    <w:rsid w:val="00AF18B2"/>
    <w:rsid w:val="00B02930"/>
    <w:rsid w:val="00B05CFE"/>
    <w:rsid w:val="00B05F23"/>
    <w:rsid w:val="00B108B3"/>
    <w:rsid w:val="00B222F1"/>
    <w:rsid w:val="00B84A82"/>
    <w:rsid w:val="00B915B7"/>
    <w:rsid w:val="00B93344"/>
    <w:rsid w:val="00BB1E4D"/>
    <w:rsid w:val="00BC7402"/>
    <w:rsid w:val="00BD0946"/>
    <w:rsid w:val="00BF2C2E"/>
    <w:rsid w:val="00C12B62"/>
    <w:rsid w:val="00C1782A"/>
    <w:rsid w:val="00C20C17"/>
    <w:rsid w:val="00C62006"/>
    <w:rsid w:val="00C62E83"/>
    <w:rsid w:val="00C92CB6"/>
    <w:rsid w:val="00CA025D"/>
    <w:rsid w:val="00CA54C7"/>
    <w:rsid w:val="00CB4F6C"/>
    <w:rsid w:val="00D22C64"/>
    <w:rsid w:val="00D465BB"/>
    <w:rsid w:val="00D72A4C"/>
    <w:rsid w:val="00D94F40"/>
    <w:rsid w:val="00DB468D"/>
    <w:rsid w:val="00E00996"/>
    <w:rsid w:val="00E03D9C"/>
    <w:rsid w:val="00E638A5"/>
    <w:rsid w:val="00E9672B"/>
    <w:rsid w:val="00EA24FD"/>
    <w:rsid w:val="00EA3625"/>
    <w:rsid w:val="00EA59DF"/>
    <w:rsid w:val="00EE4070"/>
    <w:rsid w:val="00EF47F2"/>
    <w:rsid w:val="00F12C76"/>
    <w:rsid w:val="00F21070"/>
    <w:rsid w:val="00F31614"/>
    <w:rsid w:val="00F50EE5"/>
    <w:rsid w:val="00F93538"/>
    <w:rsid w:val="00FC1647"/>
    <w:rsid w:val="00FF677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44182"/>
  <w15:chartTrackingRefBased/>
  <w15:docId w15:val="{19E9E437-EB49-4633-9329-7348F9DA9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0C17"/>
    <w:pPr>
      <w:spacing w:line="240" w:lineRule="auto"/>
    </w:pPr>
    <w:rPr>
      <w:rFonts w:ascii="Times New Roman" w:hAnsi="Times New Roman"/>
      <w:sz w:val="28"/>
    </w:rPr>
  </w:style>
  <w:style w:type="paragraph" w:styleId="3">
    <w:name w:val="heading 3"/>
    <w:basedOn w:val="a"/>
    <w:link w:val="30"/>
    <w:uiPriority w:val="9"/>
    <w:qFormat/>
    <w:rsid w:val="00BC7402"/>
    <w:pPr>
      <w:spacing w:before="100" w:beforeAutospacing="1" w:after="100" w:afterAutospacing="1"/>
      <w:outlineLvl w:val="2"/>
    </w:pPr>
    <w:rPr>
      <w:rFonts w:eastAsia="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00996"/>
    <w:rPr>
      <w:b/>
      <w:bCs/>
    </w:rPr>
  </w:style>
  <w:style w:type="character" w:styleId="a4">
    <w:name w:val="Hyperlink"/>
    <w:basedOn w:val="a0"/>
    <w:uiPriority w:val="99"/>
    <w:unhideWhenUsed/>
    <w:rsid w:val="004F29E5"/>
    <w:rPr>
      <w:color w:val="0563C1" w:themeColor="hyperlink"/>
      <w:u w:val="single"/>
    </w:rPr>
  </w:style>
  <w:style w:type="character" w:styleId="a5">
    <w:name w:val="Unresolved Mention"/>
    <w:basedOn w:val="a0"/>
    <w:uiPriority w:val="99"/>
    <w:semiHidden/>
    <w:unhideWhenUsed/>
    <w:rsid w:val="004F29E5"/>
    <w:rPr>
      <w:color w:val="605E5C"/>
      <w:shd w:val="clear" w:color="auto" w:fill="E1DFDD"/>
    </w:rPr>
  </w:style>
  <w:style w:type="character" w:styleId="a6">
    <w:name w:val="Emphasis"/>
    <w:basedOn w:val="a0"/>
    <w:uiPriority w:val="20"/>
    <w:qFormat/>
    <w:rsid w:val="00716CE7"/>
    <w:rPr>
      <w:i/>
      <w:iCs/>
    </w:rPr>
  </w:style>
  <w:style w:type="paragraph" w:styleId="a7">
    <w:name w:val="List Paragraph"/>
    <w:basedOn w:val="a"/>
    <w:uiPriority w:val="34"/>
    <w:qFormat/>
    <w:rsid w:val="00C62E83"/>
    <w:pPr>
      <w:ind w:left="720"/>
      <w:contextualSpacing/>
    </w:pPr>
  </w:style>
  <w:style w:type="paragraph" w:styleId="HTML">
    <w:name w:val="HTML Preformatted"/>
    <w:basedOn w:val="a"/>
    <w:link w:val="HTML0"/>
    <w:uiPriority w:val="99"/>
    <w:semiHidden/>
    <w:unhideWhenUsed/>
    <w:rsid w:val="00202B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202BAF"/>
    <w:rPr>
      <w:rFonts w:ascii="Courier New" w:eastAsia="Times New Roman" w:hAnsi="Courier New" w:cs="Courier New"/>
      <w:sz w:val="20"/>
      <w:szCs w:val="20"/>
      <w:lang w:eastAsia="uk-UA"/>
    </w:rPr>
  </w:style>
  <w:style w:type="character" w:customStyle="1" w:styleId="y2iqfc">
    <w:name w:val="y2iqfc"/>
    <w:basedOn w:val="a0"/>
    <w:rsid w:val="00202BAF"/>
  </w:style>
  <w:style w:type="table" w:styleId="a8">
    <w:name w:val="Table Grid"/>
    <w:basedOn w:val="a1"/>
    <w:uiPriority w:val="39"/>
    <w:rsid w:val="007437F7"/>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thor">
    <w:name w:val="Author"/>
    <w:basedOn w:val="a"/>
    <w:qFormat/>
    <w:rsid w:val="000C0F0F"/>
    <w:pPr>
      <w:spacing w:after="0" w:line="300" w:lineRule="auto"/>
      <w:ind w:firstLine="709"/>
      <w:jc w:val="right"/>
    </w:pPr>
    <w:rPr>
      <w:caps/>
      <w:sz w:val="22"/>
    </w:rPr>
  </w:style>
  <w:style w:type="paragraph" w:styleId="a9">
    <w:name w:val="Normal (Web)"/>
    <w:basedOn w:val="a"/>
    <w:uiPriority w:val="99"/>
    <w:semiHidden/>
    <w:unhideWhenUsed/>
    <w:rsid w:val="000C0F0F"/>
    <w:pPr>
      <w:spacing w:before="100" w:beforeAutospacing="1" w:after="100" w:afterAutospacing="1"/>
    </w:pPr>
    <w:rPr>
      <w:rFonts w:eastAsia="Times New Roman" w:cs="Times New Roman"/>
      <w:sz w:val="24"/>
      <w:szCs w:val="24"/>
      <w:lang w:eastAsia="uk-UA"/>
    </w:rPr>
  </w:style>
  <w:style w:type="character" w:customStyle="1" w:styleId="30">
    <w:name w:val="Заголовок 3 Знак"/>
    <w:basedOn w:val="a0"/>
    <w:link w:val="3"/>
    <w:uiPriority w:val="9"/>
    <w:rsid w:val="00BC7402"/>
    <w:rPr>
      <w:rFonts w:ascii="Times New Roman" w:eastAsia="Times New Roman" w:hAnsi="Times New Roman" w:cs="Times New Roman"/>
      <w:b/>
      <w:bCs/>
      <w:sz w:val="27"/>
      <w:szCs w:val="27"/>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061">
      <w:bodyDiv w:val="1"/>
      <w:marLeft w:val="0"/>
      <w:marRight w:val="0"/>
      <w:marTop w:val="0"/>
      <w:marBottom w:val="0"/>
      <w:divBdr>
        <w:top w:val="none" w:sz="0" w:space="0" w:color="auto"/>
        <w:left w:val="none" w:sz="0" w:space="0" w:color="auto"/>
        <w:bottom w:val="none" w:sz="0" w:space="0" w:color="auto"/>
        <w:right w:val="none" w:sz="0" w:space="0" w:color="auto"/>
      </w:divBdr>
    </w:div>
    <w:div w:id="3754833">
      <w:bodyDiv w:val="1"/>
      <w:marLeft w:val="0"/>
      <w:marRight w:val="0"/>
      <w:marTop w:val="0"/>
      <w:marBottom w:val="0"/>
      <w:divBdr>
        <w:top w:val="none" w:sz="0" w:space="0" w:color="auto"/>
        <w:left w:val="none" w:sz="0" w:space="0" w:color="auto"/>
        <w:bottom w:val="none" w:sz="0" w:space="0" w:color="auto"/>
        <w:right w:val="none" w:sz="0" w:space="0" w:color="auto"/>
      </w:divBdr>
    </w:div>
    <w:div w:id="7761465">
      <w:bodyDiv w:val="1"/>
      <w:marLeft w:val="0"/>
      <w:marRight w:val="0"/>
      <w:marTop w:val="0"/>
      <w:marBottom w:val="0"/>
      <w:divBdr>
        <w:top w:val="none" w:sz="0" w:space="0" w:color="auto"/>
        <w:left w:val="none" w:sz="0" w:space="0" w:color="auto"/>
        <w:bottom w:val="none" w:sz="0" w:space="0" w:color="auto"/>
        <w:right w:val="none" w:sz="0" w:space="0" w:color="auto"/>
      </w:divBdr>
    </w:div>
    <w:div w:id="13845154">
      <w:bodyDiv w:val="1"/>
      <w:marLeft w:val="0"/>
      <w:marRight w:val="0"/>
      <w:marTop w:val="0"/>
      <w:marBottom w:val="0"/>
      <w:divBdr>
        <w:top w:val="none" w:sz="0" w:space="0" w:color="auto"/>
        <w:left w:val="none" w:sz="0" w:space="0" w:color="auto"/>
        <w:bottom w:val="none" w:sz="0" w:space="0" w:color="auto"/>
        <w:right w:val="none" w:sz="0" w:space="0" w:color="auto"/>
      </w:divBdr>
    </w:div>
    <w:div w:id="20513719">
      <w:bodyDiv w:val="1"/>
      <w:marLeft w:val="0"/>
      <w:marRight w:val="0"/>
      <w:marTop w:val="0"/>
      <w:marBottom w:val="0"/>
      <w:divBdr>
        <w:top w:val="none" w:sz="0" w:space="0" w:color="auto"/>
        <w:left w:val="none" w:sz="0" w:space="0" w:color="auto"/>
        <w:bottom w:val="none" w:sz="0" w:space="0" w:color="auto"/>
        <w:right w:val="none" w:sz="0" w:space="0" w:color="auto"/>
      </w:divBdr>
    </w:div>
    <w:div w:id="21126297">
      <w:bodyDiv w:val="1"/>
      <w:marLeft w:val="0"/>
      <w:marRight w:val="0"/>
      <w:marTop w:val="0"/>
      <w:marBottom w:val="0"/>
      <w:divBdr>
        <w:top w:val="none" w:sz="0" w:space="0" w:color="auto"/>
        <w:left w:val="none" w:sz="0" w:space="0" w:color="auto"/>
        <w:bottom w:val="none" w:sz="0" w:space="0" w:color="auto"/>
        <w:right w:val="none" w:sz="0" w:space="0" w:color="auto"/>
      </w:divBdr>
    </w:div>
    <w:div w:id="40515964">
      <w:bodyDiv w:val="1"/>
      <w:marLeft w:val="0"/>
      <w:marRight w:val="0"/>
      <w:marTop w:val="0"/>
      <w:marBottom w:val="0"/>
      <w:divBdr>
        <w:top w:val="none" w:sz="0" w:space="0" w:color="auto"/>
        <w:left w:val="none" w:sz="0" w:space="0" w:color="auto"/>
        <w:bottom w:val="none" w:sz="0" w:space="0" w:color="auto"/>
        <w:right w:val="none" w:sz="0" w:space="0" w:color="auto"/>
      </w:divBdr>
    </w:div>
    <w:div w:id="45685591">
      <w:bodyDiv w:val="1"/>
      <w:marLeft w:val="0"/>
      <w:marRight w:val="0"/>
      <w:marTop w:val="0"/>
      <w:marBottom w:val="0"/>
      <w:divBdr>
        <w:top w:val="none" w:sz="0" w:space="0" w:color="auto"/>
        <w:left w:val="none" w:sz="0" w:space="0" w:color="auto"/>
        <w:bottom w:val="none" w:sz="0" w:space="0" w:color="auto"/>
        <w:right w:val="none" w:sz="0" w:space="0" w:color="auto"/>
      </w:divBdr>
    </w:div>
    <w:div w:id="50812212">
      <w:bodyDiv w:val="1"/>
      <w:marLeft w:val="0"/>
      <w:marRight w:val="0"/>
      <w:marTop w:val="0"/>
      <w:marBottom w:val="0"/>
      <w:divBdr>
        <w:top w:val="none" w:sz="0" w:space="0" w:color="auto"/>
        <w:left w:val="none" w:sz="0" w:space="0" w:color="auto"/>
        <w:bottom w:val="none" w:sz="0" w:space="0" w:color="auto"/>
        <w:right w:val="none" w:sz="0" w:space="0" w:color="auto"/>
      </w:divBdr>
    </w:div>
    <w:div w:id="51320736">
      <w:bodyDiv w:val="1"/>
      <w:marLeft w:val="0"/>
      <w:marRight w:val="0"/>
      <w:marTop w:val="0"/>
      <w:marBottom w:val="0"/>
      <w:divBdr>
        <w:top w:val="none" w:sz="0" w:space="0" w:color="auto"/>
        <w:left w:val="none" w:sz="0" w:space="0" w:color="auto"/>
        <w:bottom w:val="none" w:sz="0" w:space="0" w:color="auto"/>
        <w:right w:val="none" w:sz="0" w:space="0" w:color="auto"/>
      </w:divBdr>
    </w:div>
    <w:div w:id="63142639">
      <w:bodyDiv w:val="1"/>
      <w:marLeft w:val="0"/>
      <w:marRight w:val="0"/>
      <w:marTop w:val="0"/>
      <w:marBottom w:val="0"/>
      <w:divBdr>
        <w:top w:val="none" w:sz="0" w:space="0" w:color="auto"/>
        <w:left w:val="none" w:sz="0" w:space="0" w:color="auto"/>
        <w:bottom w:val="none" w:sz="0" w:space="0" w:color="auto"/>
        <w:right w:val="none" w:sz="0" w:space="0" w:color="auto"/>
      </w:divBdr>
    </w:div>
    <w:div w:id="101727997">
      <w:bodyDiv w:val="1"/>
      <w:marLeft w:val="0"/>
      <w:marRight w:val="0"/>
      <w:marTop w:val="0"/>
      <w:marBottom w:val="0"/>
      <w:divBdr>
        <w:top w:val="none" w:sz="0" w:space="0" w:color="auto"/>
        <w:left w:val="none" w:sz="0" w:space="0" w:color="auto"/>
        <w:bottom w:val="none" w:sz="0" w:space="0" w:color="auto"/>
        <w:right w:val="none" w:sz="0" w:space="0" w:color="auto"/>
      </w:divBdr>
    </w:div>
    <w:div w:id="102387704">
      <w:bodyDiv w:val="1"/>
      <w:marLeft w:val="0"/>
      <w:marRight w:val="0"/>
      <w:marTop w:val="0"/>
      <w:marBottom w:val="0"/>
      <w:divBdr>
        <w:top w:val="none" w:sz="0" w:space="0" w:color="auto"/>
        <w:left w:val="none" w:sz="0" w:space="0" w:color="auto"/>
        <w:bottom w:val="none" w:sz="0" w:space="0" w:color="auto"/>
        <w:right w:val="none" w:sz="0" w:space="0" w:color="auto"/>
      </w:divBdr>
    </w:div>
    <w:div w:id="115222235">
      <w:bodyDiv w:val="1"/>
      <w:marLeft w:val="0"/>
      <w:marRight w:val="0"/>
      <w:marTop w:val="0"/>
      <w:marBottom w:val="0"/>
      <w:divBdr>
        <w:top w:val="none" w:sz="0" w:space="0" w:color="auto"/>
        <w:left w:val="none" w:sz="0" w:space="0" w:color="auto"/>
        <w:bottom w:val="none" w:sz="0" w:space="0" w:color="auto"/>
        <w:right w:val="none" w:sz="0" w:space="0" w:color="auto"/>
      </w:divBdr>
    </w:div>
    <w:div w:id="121382949">
      <w:bodyDiv w:val="1"/>
      <w:marLeft w:val="0"/>
      <w:marRight w:val="0"/>
      <w:marTop w:val="0"/>
      <w:marBottom w:val="0"/>
      <w:divBdr>
        <w:top w:val="none" w:sz="0" w:space="0" w:color="auto"/>
        <w:left w:val="none" w:sz="0" w:space="0" w:color="auto"/>
        <w:bottom w:val="none" w:sz="0" w:space="0" w:color="auto"/>
        <w:right w:val="none" w:sz="0" w:space="0" w:color="auto"/>
      </w:divBdr>
    </w:div>
    <w:div w:id="125783975">
      <w:bodyDiv w:val="1"/>
      <w:marLeft w:val="0"/>
      <w:marRight w:val="0"/>
      <w:marTop w:val="0"/>
      <w:marBottom w:val="0"/>
      <w:divBdr>
        <w:top w:val="none" w:sz="0" w:space="0" w:color="auto"/>
        <w:left w:val="none" w:sz="0" w:space="0" w:color="auto"/>
        <w:bottom w:val="none" w:sz="0" w:space="0" w:color="auto"/>
        <w:right w:val="none" w:sz="0" w:space="0" w:color="auto"/>
      </w:divBdr>
    </w:div>
    <w:div w:id="133069054">
      <w:bodyDiv w:val="1"/>
      <w:marLeft w:val="0"/>
      <w:marRight w:val="0"/>
      <w:marTop w:val="0"/>
      <w:marBottom w:val="0"/>
      <w:divBdr>
        <w:top w:val="none" w:sz="0" w:space="0" w:color="auto"/>
        <w:left w:val="none" w:sz="0" w:space="0" w:color="auto"/>
        <w:bottom w:val="none" w:sz="0" w:space="0" w:color="auto"/>
        <w:right w:val="none" w:sz="0" w:space="0" w:color="auto"/>
      </w:divBdr>
    </w:div>
    <w:div w:id="135490901">
      <w:bodyDiv w:val="1"/>
      <w:marLeft w:val="0"/>
      <w:marRight w:val="0"/>
      <w:marTop w:val="0"/>
      <w:marBottom w:val="0"/>
      <w:divBdr>
        <w:top w:val="none" w:sz="0" w:space="0" w:color="auto"/>
        <w:left w:val="none" w:sz="0" w:space="0" w:color="auto"/>
        <w:bottom w:val="none" w:sz="0" w:space="0" w:color="auto"/>
        <w:right w:val="none" w:sz="0" w:space="0" w:color="auto"/>
      </w:divBdr>
    </w:div>
    <w:div w:id="137772298">
      <w:bodyDiv w:val="1"/>
      <w:marLeft w:val="0"/>
      <w:marRight w:val="0"/>
      <w:marTop w:val="0"/>
      <w:marBottom w:val="0"/>
      <w:divBdr>
        <w:top w:val="none" w:sz="0" w:space="0" w:color="auto"/>
        <w:left w:val="none" w:sz="0" w:space="0" w:color="auto"/>
        <w:bottom w:val="none" w:sz="0" w:space="0" w:color="auto"/>
        <w:right w:val="none" w:sz="0" w:space="0" w:color="auto"/>
      </w:divBdr>
    </w:div>
    <w:div w:id="147284400">
      <w:bodyDiv w:val="1"/>
      <w:marLeft w:val="0"/>
      <w:marRight w:val="0"/>
      <w:marTop w:val="0"/>
      <w:marBottom w:val="0"/>
      <w:divBdr>
        <w:top w:val="none" w:sz="0" w:space="0" w:color="auto"/>
        <w:left w:val="none" w:sz="0" w:space="0" w:color="auto"/>
        <w:bottom w:val="none" w:sz="0" w:space="0" w:color="auto"/>
        <w:right w:val="none" w:sz="0" w:space="0" w:color="auto"/>
      </w:divBdr>
    </w:div>
    <w:div w:id="159009431">
      <w:bodyDiv w:val="1"/>
      <w:marLeft w:val="0"/>
      <w:marRight w:val="0"/>
      <w:marTop w:val="0"/>
      <w:marBottom w:val="0"/>
      <w:divBdr>
        <w:top w:val="none" w:sz="0" w:space="0" w:color="auto"/>
        <w:left w:val="none" w:sz="0" w:space="0" w:color="auto"/>
        <w:bottom w:val="none" w:sz="0" w:space="0" w:color="auto"/>
        <w:right w:val="none" w:sz="0" w:space="0" w:color="auto"/>
      </w:divBdr>
    </w:div>
    <w:div w:id="164637263">
      <w:bodyDiv w:val="1"/>
      <w:marLeft w:val="0"/>
      <w:marRight w:val="0"/>
      <w:marTop w:val="0"/>
      <w:marBottom w:val="0"/>
      <w:divBdr>
        <w:top w:val="none" w:sz="0" w:space="0" w:color="auto"/>
        <w:left w:val="none" w:sz="0" w:space="0" w:color="auto"/>
        <w:bottom w:val="none" w:sz="0" w:space="0" w:color="auto"/>
        <w:right w:val="none" w:sz="0" w:space="0" w:color="auto"/>
      </w:divBdr>
    </w:div>
    <w:div w:id="171994068">
      <w:bodyDiv w:val="1"/>
      <w:marLeft w:val="0"/>
      <w:marRight w:val="0"/>
      <w:marTop w:val="0"/>
      <w:marBottom w:val="0"/>
      <w:divBdr>
        <w:top w:val="none" w:sz="0" w:space="0" w:color="auto"/>
        <w:left w:val="none" w:sz="0" w:space="0" w:color="auto"/>
        <w:bottom w:val="none" w:sz="0" w:space="0" w:color="auto"/>
        <w:right w:val="none" w:sz="0" w:space="0" w:color="auto"/>
      </w:divBdr>
    </w:div>
    <w:div w:id="177276219">
      <w:bodyDiv w:val="1"/>
      <w:marLeft w:val="0"/>
      <w:marRight w:val="0"/>
      <w:marTop w:val="0"/>
      <w:marBottom w:val="0"/>
      <w:divBdr>
        <w:top w:val="none" w:sz="0" w:space="0" w:color="auto"/>
        <w:left w:val="none" w:sz="0" w:space="0" w:color="auto"/>
        <w:bottom w:val="none" w:sz="0" w:space="0" w:color="auto"/>
        <w:right w:val="none" w:sz="0" w:space="0" w:color="auto"/>
      </w:divBdr>
    </w:div>
    <w:div w:id="182742308">
      <w:bodyDiv w:val="1"/>
      <w:marLeft w:val="0"/>
      <w:marRight w:val="0"/>
      <w:marTop w:val="0"/>
      <w:marBottom w:val="0"/>
      <w:divBdr>
        <w:top w:val="none" w:sz="0" w:space="0" w:color="auto"/>
        <w:left w:val="none" w:sz="0" w:space="0" w:color="auto"/>
        <w:bottom w:val="none" w:sz="0" w:space="0" w:color="auto"/>
        <w:right w:val="none" w:sz="0" w:space="0" w:color="auto"/>
      </w:divBdr>
    </w:div>
    <w:div w:id="189686027">
      <w:bodyDiv w:val="1"/>
      <w:marLeft w:val="0"/>
      <w:marRight w:val="0"/>
      <w:marTop w:val="0"/>
      <w:marBottom w:val="0"/>
      <w:divBdr>
        <w:top w:val="none" w:sz="0" w:space="0" w:color="auto"/>
        <w:left w:val="none" w:sz="0" w:space="0" w:color="auto"/>
        <w:bottom w:val="none" w:sz="0" w:space="0" w:color="auto"/>
        <w:right w:val="none" w:sz="0" w:space="0" w:color="auto"/>
      </w:divBdr>
    </w:div>
    <w:div w:id="199710302">
      <w:bodyDiv w:val="1"/>
      <w:marLeft w:val="0"/>
      <w:marRight w:val="0"/>
      <w:marTop w:val="0"/>
      <w:marBottom w:val="0"/>
      <w:divBdr>
        <w:top w:val="none" w:sz="0" w:space="0" w:color="auto"/>
        <w:left w:val="none" w:sz="0" w:space="0" w:color="auto"/>
        <w:bottom w:val="none" w:sz="0" w:space="0" w:color="auto"/>
        <w:right w:val="none" w:sz="0" w:space="0" w:color="auto"/>
      </w:divBdr>
    </w:div>
    <w:div w:id="203950339">
      <w:bodyDiv w:val="1"/>
      <w:marLeft w:val="0"/>
      <w:marRight w:val="0"/>
      <w:marTop w:val="0"/>
      <w:marBottom w:val="0"/>
      <w:divBdr>
        <w:top w:val="none" w:sz="0" w:space="0" w:color="auto"/>
        <w:left w:val="none" w:sz="0" w:space="0" w:color="auto"/>
        <w:bottom w:val="none" w:sz="0" w:space="0" w:color="auto"/>
        <w:right w:val="none" w:sz="0" w:space="0" w:color="auto"/>
      </w:divBdr>
    </w:div>
    <w:div w:id="204567434">
      <w:bodyDiv w:val="1"/>
      <w:marLeft w:val="0"/>
      <w:marRight w:val="0"/>
      <w:marTop w:val="0"/>
      <w:marBottom w:val="0"/>
      <w:divBdr>
        <w:top w:val="none" w:sz="0" w:space="0" w:color="auto"/>
        <w:left w:val="none" w:sz="0" w:space="0" w:color="auto"/>
        <w:bottom w:val="none" w:sz="0" w:space="0" w:color="auto"/>
        <w:right w:val="none" w:sz="0" w:space="0" w:color="auto"/>
      </w:divBdr>
    </w:div>
    <w:div w:id="211962006">
      <w:bodyDiv w:val="1"/>
      <w:marLeft w:val="0"/>
      <w:marRight w:val="0"/>
      <w:marTop w:val="0"/>
      <w:marBottom w:val="0"/>
      <w:divBdr>
        <w:top w:val="none" w:sz="0" w:space="0" w:color="auto"/>
        <w:left w:val="none" w:sz="0" w:space="0" w:color="auto"/>
        <w:bottom w:val="none" w:sz="0" w:space="0" w:color="auto"/>
        <w:right w:val="none" w:sz="0" w:space="0" w:color="auto"/>
      </w:divBdr>
    </w:div>
    <w:div w:id="214859664">
      <w:bodyDiv w:val="1"/>
      <w:marLeft w:val="0"/>
      <w:marRight w:val="0"/>
      <w:marTop w:val="0"/>
      <w:marBottom w:val="0"/>
      <w:divBdr>
        <w:top w:val="none" w:sz="0" w:space="0" w:color="auto"/>
        <w:left w:val="none" w:sz="0" w:space="0" w:color="auto"/>
        <w:bottom w:val="none" w:sz="0" w:space="0" w:color="auto"/>
        <w:right w:val="none" w:sz="0" w:space="0" w:color="auto"/>
      </w:divBdr>
    </w:div>
    <w:div w:id="215238021">
      <w:bodyDiv w:val="1"/>
      <w:marLeft w:val="0"/>
      <w:marRight w:val="0"/>
      <w:marTop w:val="0"/>
      <w:marBottom w:val="0"/>
      <w:divBdr>
        <w:top w:val="none" w:sz="0" w:space="0" w:color="auto"/>
        <w:left w:val="none" w:sz="0" w:space="0" w:color="auto"/>
        <w:bottom w:val="none" w:sz="0" w:space="0" w:color="auto"/>
        <w:right w:val="none" w:sz="0" w:space="0" w:color="auto"/>
      </w:divBdr>
    </w:div>
    <w:div w:id="262960627">
      <w:bodyDiv w:val="1"/>
      <w:marLeft w:val="0"/>
      <w:marRight w:val="0"/>
      <w:marTop w:val="0"/>
      <w:marBottom w:val="0"/>
      <w:divBdr>
        <w:top w:val="none" w:sz="0" w:space="0" w:color="auto"/>
        <w:left w:val="none" w:sz="0" w:space="0" w:color="auto"/>
        <w:bottom w:val="none" w:sz="0" w:space="0" w:color="auto"/>
        <w:right w:val="none" w:sz="0" w:space="0" w:color="auto"/>
      </w:divBdr>
    </w:div>
    <w:div w:id="264919868">
      <w:bodyDiv w:val="1"/>
      <w:marLeft w:val="0"/>
      <w:marRight w:val="0"/>
      <w:marTop w:val="0"/>
      <w:marBottom w:val="0"/>
      <w:divBdr>
        <w:top w:val="none" w:sz="0" w:space="0" w:color="auto"/>
        <w:left w:val="none" w:sz="0" w:space="0" w:color="auto"/>
        <w:bottom w:val="none" w:sz="0" w:space="0" w:color="auto"/>
        <w:right w:val="none" w:sz="0" w:space="0" w:color="auto"/>
      </w:divBdr>
    </w:div>
    <w:div w:id="281572630">
      <w:bodyDiv w:val="1"/>
      <w:marLeft w:val="0"/>
      <w:marRight w:val="0"/>
      <w:marTop w:val="0"/>
      <w:marBottom w:val="0"/>
      <w:divBdr>
        <w:top w:val="none" w:sz="0" w:space="0" w:color="auto"/>
        <w:left w:val="none" w:sz="0" w:space="0" w:color="auto"/>
        <w:bottom w:val="none" w:sz="0" w:space="0" w:color="auto"/>
        <w:right w:val="none" w:sz="0" w:space="0" w:color="auto"/>
      </w:divBdr>
    </w:div>
    <w:div w:id="281688319">
      <w:bodyDiv w:val="1"/>
      <w:marLeft w:val="0"/>
      <w:marRight w:val="0"/>
      <w:marTop w:val="0"/>
      <w:marBottom w:val="0"/>
      <w:divBdr>
        <w:top w:val="none" w:sz="0" w:space="0" w:color="auto"/>
        <w:left w:val="none" w:sz="0" w:space="0" w:color="auto"/>
        <w:bottom w:val="none" w:sz="0" w:space="0" w:color="auto"/>
        <w:right w:val="none" w:sz="0" w:space="0" w:color="auto"/>
      </w:divBdr>
    </w:div>
    <w:div w:id="293219264">
      <w:bodyDiv w:val="1"/>
      <w:marLeft w:val="0"/>
      <w:marRight w:val="0"/>
      <w:marTop w:val="0"/>
      <w:marBottom w:val="0"/>
      <w:divBdr>
        <w:top w:val="none" w:sz="0" w:space="0" w:color="auto"/>
        <w:left w:val="none" w:sz="0" w:space="0" w:color="auto"/>
        <w:bottom w:val="none" w:sz="0" w:space="0" w:color="auto"/>
        <w:right w:val="none" w:sz="0" w:space="0" w:color="auto"/>
      </w:divBdr>
    </w:div>
    <w:div w:id="297952159">
      <w:bodyDiv w:val="1"/>
      <w:marLeft w:val="0"/>
      <w:marRight w:val="0"/>
      <w:marTop w:val="0"/>
      <w:marBottom w:val="0"/>
      <w:divBdr>
        <w:top w:val="none" w:sz="0" w:space="0" w:color="auto"/>
        <w:left w:val="none" w:sz="0" w:space="0" w:color="auto"/>
        <w:bottom w:val="none" w:sz="0" w:space="0" w:color="auto"/>
        <w:right w:val="none" w:sz="0" w:space="0" w:color="auto"/>
      </w:divBdr>
    </w:div>
    <w:div w:id="300619354">
      <w:bodyDiv w:val="1"/>
      <w:marLeft w:val="0"/>
      <w:marRight w:val="0"/>
      <w:marTop w:val="0"/>
      <w:marBottom w:val="0"/>
      <w:divBdr>
        <w:top w:val="none" w:sz="0" w:space="0" w:color="auto"/>
        <w:left w:val="none" w:sz="0" w:space="0" w:color="auto"/>
        <w:bottom w:val="none" w:sz="0" w:space="0" w:color="auto"/>
        <w:right w:val="none" w:sz="0" w:space="0" w:color="auto"/>
      </w:divBdr>
    </w:div>
    <w:div w:id="318005212">
      <w:bodyDiv w:val="1"/>
      <w:marLeft w:val="0"/>
      <w:marRight w:val="0"/>
      <w:marTop w:val="0"/>
      <w:marBottom w:val="0"/>
      <w:divBdr>
        <w:top w:val="none" w:sz="0" w:space="0" w:color="auto"/>
        <w:left w:val="none" w:sz="0" w:space="0" w:color="auto"/>
        <w:bottom w:val="none" w:sz="0" w:space="0" w:color="auto"/>
        <w:right w:val="none" w:sz="0" w:space="0" w:color="auto"/>
      </w:divBdr>
    </w:div>
    <w:div w:id="321467894">
      <w:bodyDiv w:val="1"/>
      <w:marLeft w:val="0"/>
      <w:marRight w:val="0"/>
      <w:marTop w:val="0"/>
      <w:marBottom w:val="0"/>
      <w:divBdr>
        <w:top w:val="none" w:sz="0" w:space="0" w:color="auto"/>
        <w:left w:val="none" w:sz="0" w:space="0" w:color="auto"/>
        <w:bottom w:val="none" w:sz="0" w:space="0" w:color="auto"/>
        <w:right w:val="none" w:sz="0" w:space="0" w:color="auto"/>
      </w:divBdr>
    </w:div>
    <w:div w:id="331379448">
      <w:bodyDiv w:val="1"/>
      <w:marLeft w:val="0"/>
      <w:marRight w:val="0"/>
      <w:marTop w:val="0"/>
      <w:marBottom w:val="0"/>
      <w:divBdr>
        <w:top w:val="none" w:sz="0" w:space="0" w:color="auto"/>
        <w:left w:val="none" w:sz="0" w:space="0" w:color="auto"/>
        <w:bottom w:val="none" w:sz="0" w:space="0" w:color="auto"/>
        <w:right w:val="none" w:sz="0" w:space="0" w:color="auto"/>
      </w:divBdr>
    </w:div>
    <w:div w:id="333147359">
      <w:bodyDiv w:val="1"/>
      <w:marLeft w:val="0"/>
      <w:marRight w:val="0"/>
      <w:marTop w:val="0"/>
      <w:marBottom w:val="0"/>
      <w:divBdr>
        <w:top w:val="none" w:sz="0" w:space="0" w:color="auto"/>
        <w:left w:val="none" w:sz="0" w:space="0" w:color="auto"/>
        <w:bottom w:val="none" w:sz="0" w:space="0" w:color="auto"/>
        <w:right w:val="none" w:sz="0" w:space="0" w:color="auto"/>
      </w:divBdr>
    </w:div>
    <w:div w:id="333261651">
      <w:bodyDiv w:val="1"/>
      <w:marLeft w:val="0"/>
      <w:marRight w:val="0"/>
      <w:marTop w:val="0"/>
      <w:marBottom w:val="0"/>
      <w:divBdr>
        <w:top w:val="none" w:sz="0" w:space="0" w:color="auto"/>
        <w:left w:val="none" w:sz="0" w:space="0" w:color="auto"/>
        <w:bottom w:val="none" w:sz="0" w:space="0" w:color="auto"/>
        <w:right w:val="none" w:sz="0" w:space="0" w:color="auto"/>
      </w:divBdr>
    </w:div>
    <w:div w:id="341199686">
      <w:bodyDiv w:val="1"/>
      <w:marLeft w:val="0"/>
      <w:marRight w:val="0"/>
      <w:marTop w:val="0"/>
      <w:marBottom w:val="0"/>
      <w:divBdr>
        <w:top w:val="none" w:sz="0" w:space="0" w:color="auto"/>
        <w:left w:val="none" w:sz="0" w:space="0" w:color="auto"/>
        <w:bottom w:val="none" w:sz="0" w:space="0" w:color="auto"/>
        <w:right w:val="none" w:sz="0" w:space="0" w:color="auto"/>
      </w:divBdr>
    </w:div>
    <w:div w:id="365764923">
      <w:bodyDiv w:val="1"/>
      <w:marLeft w:val="0"/>
      <w:marRight w:val="0"/>
      <w:marTop w:val="0"/>
      <w:marBottom w:val="0"/>
      <w:divBdr>
        <w:top w:val="none" w:sz="0" w:space="0" w:color="auto"/>
        <w:left w:val="none" w:sz="0" w:space="0" w:color="auto"/>
        <w:bottom w:val="none" w:sz="0" w:space="0" w:color="auto"/>
        <w:right w:val="none" w:sz="0" w:space="0" w:color="auto"/>
      </w:divBdr>
    </w:div>
    <w:div w:id="383336357">
      <w:bodyDiv w:val="1"/>
      <w:marLeft w:val="0"/>
      <w:marRight w:val="0"/>
      <w:marTop w:val="0"/>
      <w:marBottom w:val="0"/>
      <w:divBdr>
        <w:top w:val="none" w:sz="0" w:space="0" w:color="auto"/>
        <w:left w:val="none" w:sz="0" w:space="0" w:color="auto"/>
        <w:bottom w:val="none" w:sz="0" w:space="0" w:color="auto"/>
        <w:right w:val="none" w:sz="0" w:space="0" w:color="auto"/>
      </w:divBdr>
    </w:div>
    <w:div w:id="387343476">
      <w:bodyDiv w:val="1"/>
      <w:marLeft w:val="0"/>
      <w:marRight w:val="0"/>
      <w:marTop w:val="0"/>
      <w:marBottom w:val="0"/>
      <w:divBdr>
        <w:top w:val="none" w:sz="0" w:space="0" w:color="auto"/>
        <w:left w:val="none" w:sz="0" w:space="0" w:color="auto"/>
        <w:bottom w:val="none" w:sz="0" w:space="0" w:color="auto"/>
        <w:right w:val="none" w:sz="0" w:space="0" w:color="auto"/>
      </w:divBdr>
    </w:div>
    <w:div w:id="398329200">
      <w:bodyDiv w:val="1"/>
      <w:marLeft w:val="0"/>
      <w:marRight w:val="0"/>
      <w:marTop w:val="0"/>
      <w:marBottom w:val="0"/>
      <w:divBdr>
        <w:top w:val="none" w:sz="0" w:space="0" w:color="auto"/>
        <w:left w:val="none" w:sz="0" w:space="0" w:color="auto"/>
        <w:bottom w:val="none" w:sz="0" w:space="0" w:color="auto"/>
        <w:right w:val="none" w:sz="0" w:space="0" w:color="auto"/>
      </w:divBdr>
    </w:div>
    <w:div w:id="399206930">
      <w:bodyDiv w:val="1"/>
      <w:marLeft w:val="0"/>
      <w:marRight w:val="0"/>
      <w:marTop w:val="0"/>
      <w:marBottom w:val="0"/>
      <w:divBdr>
        <w:top w:val="none" w:sz="0" w:space="0" w:color="auto"/>
        <w:left w:val="none" w:sz="0" w:space="0" w:color="auto"/>
        <w:bottom w:val="none" w:sz="0" w:space="0" w:color="auto"/>
        <w:right w:val="none" w:sz="0" w:space="0" w:color="auto"/>
      </w:divBdr>
    </w:div>
    <w:div w:id="400255930">
      <w:bodyDiv w:val="1"/>
      <w:marLeft w:val="0"/>
      <w:marRight w:val="0"/>
      <w:marTop w:val="0"/>
      <w:marBottom w:val="0"/>
      <w:divBdr>
        <w:top w:val="none" w:sz="0" w:space="0" w:color="auto"/>
        <w:left w:val="none" w:sz="0" w:space="0" w:color="auto"/>
        <w:bottom w:val="none" w:sz="0" w:space="0" w:color="auto"/>
        <w:right w:val="none" w:sz="0" w:space="0" w:color="auto"/>
      </w:divBdr>
    </w:div>
    <w:div w:id="401366996">
      <w:bodyDiv w:val="1"/>
      <w:marLeft w:val="0"/>
      <w:marRight w:val="0"/>
      <w:marTop w:val="0"/>
      <w:marBottom w:val="0"/>
      <w:divBdr>
        <w:top w:val="none" w:sz="0" w:space="0" w:color="auto"/>
        <w:left w:val="none" w:sz="0" w:space="0" w:color="auto"/>
        <w:bottom w:val="none" w:sz="0" w:space="0" w:color="auto"/>
        <w:right w:val="none" w:sz="0" w:space="0" w:color="auto"/>
      </w:divBdr>
    </w:div>
    <w:div w:id="438915500">
      <w:bodyDiv w:val="1"/>
      <w:marLeft w:val="0"/>
      <w:marRight w:val="0"/>
      <w:marTop w:val="0"/>
      <w:marBottom w:val="0"/>
      <w:divBdr>
        <w:top w:val="none" w:sz="0" w:space="0" w:color="auto"/>
        <w:left w:val="none" w:sz="0" w:space="0" w:color="auto"/>
        <w:bottom w:val="none" w:sz="0" w:space="0" w:color="auto"/>
        <w:right w:val="none" w:sz="0" w:space="0" w:color="auto"/>
      </w:divBdr>
    </w:div>
    <w:div w:id="447168613">
      <w:bodyDiv w:val="1"/>
      <w:marLeft w:val="0"/>
      <w:marRight w:val="0"/>
      <w:marTop w:val="0"/>
      <w:marBottom w:val="0"/>
      <w:divBdr>
        <w:top w:val="none" w:sz="0" w:space="0" w:color="auto"/>
        <w:left w:val="none" w:sz="0" w:space="0" w:color="auto"/>
        <w:bottom w:val="none" w:sz="0" w:space="0" w:color="auto"/>
        <w:right w:val="none" w:sz="0" w:space="0" w:color="auto"/>
      </w:divBdr>
    </w:div>
    <w:div w:id="455101018">
      <w:bodyDiv w:val="1"/>
      <w:marLeft w:val="0"/>
      <w:marRight w:val="0"/>
      <w:marTop w:val="0"/>
      <w:marBottom w:val="0"/>
      <w:divBdr>
        <w:top w:val="none" w:sz="0" w:space="0" w:color="auto"/>
        <w:left w:val="none" w:sz="0" w:space="0" w:color="auto"/>
        <w:bottom w:val="none" w:sz="0" w:space="0" w:color="auto"/>
        <w:right w:val="none" w:sz="0" w:space="0" w:color="auto"/>
      </w:divBdr>
    </w:div>
    <w:div w:id="462966514">
      <w:bodyDiv w:val="1"/>
      <w:marLeft w:val="0"/>
      <w:marRight w:val="0"/>
      <w:marTop w:val="0"/>
      <w:marBottom w:val="0"/>
      <w:divBdr>
        <w:top w:val="none" w:sz="0" w:space="0" w:color="auto"/>
        <w:left w:val="none" w:sz="0" w:space="0" w:color="auto"/>
        <w:bottom w:val="none" w:sz="0" w:space="0" w:color="auto"/>
        <w:right w:val="none" w:sz="0" w:space="0" w:color="auto"/>
      </w:divBdr>
      <w:divsChild>
        <w:div w:id="411199486">
          <w:marLeft w:val="0"/>
          <w:marRight w:val="0"/>
          <w:marTop w:val="0"/>
          <w:marBottom w:val="0"/>
          <w:divBdr>
            <w:top w:val="none" w:sz="0" w:space="0" w:color="auto"/>
            <w:left w:val="none" w:sz="0" w:space="0" w:color="auto"/>
            <w:bottom w:val="none" w:sz="0" w:space="0" w:color="auto"/>
            <w:right w:val="none" w:sz="0" w:space="0" w:color="auto"/>
          </w:divBdr>
          <w:divsChild>
            <w:div w:id="2114938898">
              <w:marLeft w:val="0"/>
              <w:marRight w:val="0"/>
              <w:marTop w:val="0"/>
              <w:marBottom w:val="0"/>
              <w:divBdr>
                <w:top w:val="none" w:sz="0" w:space="0" w:color="auto"/>
                <w:left w:val="none" w:sz="0" w:space="0" w:color="auto"/>
                <w:bottom w:val="none" w:sz="0" w:space="0" w:color="auto"/>
                <w:right w:val="none" w:sz="0" w:space="0" w:color="auto"/>
              </w:divBdr>
              <w:divsChild>
                <w:div w:id="1290668076">
                  <w:marLeft w:val="0"/>
                  <w:marRight w:val="0"/>
                  <w:marTop w:val="0"/>
                  <w:marBottom w:val="0"/>
                  <w:divBdr>
                    <w:top w:val="none" w:sz="0" w:space="0" w:color="auto"/>
                    <w:left w:val="none" w:sz="0" w:space="0" w:color="auto"/>
                    <w:bottom w:val="none" w:sz="0" w:space="0" w:color="auto"/>
                    <w:right w:val="none" w:sz="0" w:space="0" w:color="auto"/>
                  </w:divBdr>
                  <w:divsChild>
                    <w:div w:id="198712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247981">
      <w:bodyDiv w:val="1"/>
      <w:marLeft w:val="0"/>
      <w:marRight w:val="0"/>
      <w:marTop w:val="0"/>
      <w:marBottom w:val="0"/>
      <w:divBdr>
        <w:top w:val="none" w:sz="0" w:space="0" w:color="auto"/>
        <w:left w:val="none" w:sz="0" w:space="0" w:color="auto"/>
        <w:bottom w:val="none" w:sz="0" w:space="0" w:color="auto"/>
        <w:right w:val="none" w:sz="0" w:space="0" w:color="auto"/>
      </w:divBdr>
    </w:div>
    <w:div w:id="479539493">
      <w:bodyDiv w:val="1"/>
      <w:marLeft w:val="0"/>
      <w:marRight w:val="0"/>
      <w:marTop w:val="0"/>
      <w:marBottom w:val="0"/>
      <w:divBdr>
        <w:top w:val="none" w:sz="0" w:space="0" w:color="auto"/>
        <w:left w:val="none" w:sz="0" w:space="0" w:color="auto"/>
        <w:bottom w:val="none" w:sz="0" w:space="0" w:color="auto"/>
        <w:right w:val="none" w:sz="0" w:space="0" w:color="auto"/>
      </w:divBdr>
    </w:div>
    <w:div w:id="493230720">
      <w:bodyDiv w:val="1"/>
      <w:marLeft w:val="0"/>
      <w:marRight w:val="0"/>
      <w:marTop w:val="0"/>
      <w:marBottom w:val="0"/>
      <w:divBdr>
        <w:top w:val="none" w:sz="0" w:space="0" w:color="auto"/>
        <w:left w:val="none" w:sz="0" w:space="0" w:color="auto"/>
        <w:bottom w:val="none" w:sz="0" w:space="0" w:color="auto"/>
        <w:right w:val="none" w:sz="0" w:space="0" w:color="auto"/>
      </w:divBdr>
    </w:div>
    <w:div w:id="510490538">
      <w:bodyDiv w:val="1"/>
      <w:marLeft w:val="0"/>
      <w:marRight w:val="0"/>
      <w:marTop w:val="0"/>
      <w:marBottom w:val="0"/>
      <w:divBdr>
        <w:top w:val="none" w:sz="0" w:space="0" w:color="auto"/>
        <w:left w:val="none" w:sz="0" w:space="0" w:color="auto"/>
        <w:bottom w:val="none" w:sz="0" w:space="0" w:color="auto"/>
        <w:right w:val="none" w:sz="0" w:space="0" w:color="auto"/>
      </w:divBdr>
    </w:div>
    <w:div w:id="530266598">
      <w:bodyDiv w:val="1"/>
      <w:marLeft w:val="0"/>
      <w:marRight w:val="0"/>
      <w:marTop w:val="0"/>
      <w:marBottom w:val="0"/>
      <w:divBdr>
        <w:top w:val="none" w:sz="0" w:space="0" w:color="auto"/>
        <w:left w:val="none" w:sz="0" w:space="0" w:color="auto"/>
        <w:bottom w:val="none" w:sz="0" w:space="0" w:color="auto"/>
        <w:right w:val="none" w:sz="0" w:space="0" w:color="auto"/>
      </w:divBdr>
    </w:div>
    <w:div w:id="544484246">
      <w:bodyDiv w:val="1"/>
      <w:marLeft w:val="0"/>
      <w:marRight w:val="0"/>
      <w:marTop w:val="0"/>
      <w:marBottom w:val="0"/>
      <w:divBdr>
        <w:top w:val="none" w:sz="0" w:space="0" w:color="auto"/>
        <w:left w:val="none" w:sz="0" w:space="0" w:color="auto"/>
        <w:bottom w:val="none" w:sz="0" w:space="0" w:color="auto"/>
        <w:right w:val="none" w:sz="0" w:space="0" w:color="auto"/>
      </w:divBdr>
    </w:div>
    <w:div w:id="555170052">
      <w:bodyDiv w:val="1"/>
      <w:marLeft w:val="0"/>
      <w:marRight w:val="0"/>
      <w:marTop w:val="0"/>
      <w:marBottom w:val="0"/>
      <w:divBdr>
        <w:top w:val="none" w:sz="0" w:space="0" w:color="auto"/>
        <w:left w:val="none" w:sz="0" w:space="0" w:color="auto"/>
        <w:bottom w:val="none" w:sz="0" w:space="0" w:color="auto"/>
        <w:right w:val="none" w:sz="0" w:space="0" w:color="auto"/>
      </w:divBdr>
    </w:div>
    <w:div w:id="571047574">
      <w:bodyDiv w:val="1"/>
      <w:marLeft w:val="0"/>
      <w:marRight w:val="0"/>
      <w:marTop w:val="0"/>
      <w:marBottom w:val="0"/>
      <w:divBdr>
        <w:top w:val="none" w:sz="0" w:space="0" w:color="auto"/>
        <w:left w:val="none" w:sz="0" w:space="0" w:color="auto"/>
        <w:bottom w:val="none" w:sz="0" w:space="0" w:color="auto"/>
        <w:right w:val="none" w:sz="0" w:space="0" w:color="auto"/>
      </w:divBdr>
    </w:div>
    <w:div w:id="572473640">
      <w:bodyDiv w:val="1"/>
      <w:marLeft w:val="0"/>
      <w:marRight w:val="0"/>
      <w:marTop w:val="0"/>
      <w:marBottom w:val="0"/>
      <w:divBdr>
        <w:top w:val="none" w:sz="0" w:space="0" w:color="auto"/>
        <w:left w:val="none" w:sz="0" w:space="0" w:color="auto"/>
        <w:bottom w:val="none" w:sz="0" w:space="0" w:color="auto"/>
        <w:right w:val="none" w:sz="0" w:space="0" w:color="auto"/>
      </w:divBdr>
    </w:div>
    <w:div w:id="574701940">
      <w:bodyDiv w:val="1"/>
      <w:marLeft w:val="0"/>
      <w:marRight w:val="0"/>
      <w:marTop w:val="0"/>
      <w:marBottom w:val="0"/>
      <w:divBdr>
        <w:top w:val="none" w:sz="0" w:space="0" w:color="auto"/>
        <w:left w:val="none" w:sz="0" w:space="0" w:color="auto"/>
        <w:bottom w:val="none" w:sz="0" w:space="0" w:color="auto"/>
        <w:right w:val="none" w:sz="0" w:space="0" w:color="auto"/>
      </w:divBdr>
    </w:div>
    <w:div w:id="582687311">
      <w:bodyDiv w:val="1"/>
      <w:marLeft w:val="0"/>
      <w:marRight w:val="0"/>
      <w:marTop w:val="0"/>
      <w:marBottom w:val="0"/>
      <w:divBdr>
        <w:top w:val="none" w:sz="0" w:space="0" w:color="auto"/>
        <w:left w:val="none" w:sz="0" w:space="0" w:color="auto"/>
        <w:bottom w:val="none" w:sz="0" w:space="0" w:color="auto"/>
        <w:right w:val="none" w:sz="0" w:space="0" w:color="auto"/>
      </w:divBdr>
    </w:div>
    <w:div w:id="585118825">
      <w:bodyDiv w:val="1"/>
      <w:marLeft w:val="0"/>
      <w:marRight w:val="0"/>
      <w:marTop w:val="0"/>
      <w:marBottom w:val="0"/>
      <w:divBdr>
        <w:top w:val="none" w:sz="0" w:space="0" w:color="auto"/>
        <w:left w:val="none" w:sz="0" w:space="0" w:color="auto"/>
        <w:bottom w:val="none" w:sz="0" w:space="0" w:color="auto"/>
        <w:right w:val="none" w:sz="0" w:space="0" w:color="auto"/>
      </w:divBdr>
    </w:div>
    <w:div w:id="605187859">
      <w:bodyDiv w:val="1"/>
      <w:marLeft w:val="0"/>
      <w:marRight w:val="0"/>
      <w:marTop w:val="0"/>
      <w:marBottom w:val="0"/>
      <w:divBdr>
        <w:top w:val="none" w:sz="0" w:space="0" w:color="auto"/>
        <w:left w:val="none" w:sz="0" w:space="0" w:color="auto"/>
        <w:bottom w:val="none" w:sz="0" w:space="0" w:color="auto"/>
        <w:right w:val="none" w:sz="0" w:space="0" w:color="auto"/>
      </w:divBdr>
    </w:div>
    <w:div w:id="635451375">
      <w:bodyDiv w:val="1"/>
      <w:marLeft w:val="0"/>
      <w:marRight w:val="0"/>
      <w:marTop w:val="0"/>
      <w:marBottom w:val="0"/>
      <w:divBdr>
        <w:top w:val="none" w:sz="0" w:space="0" w:color="auto"/>
        <w:left w:val="none" w:sz="0" w:space="0" w:color="auto"/>
        <w:bottom w:val="none" w:sz="0" w:space="0" w:color="auto"/>
        <w:right w:val="none" w:sz="0" w:space="0" w:color="auto"/>
      </w:divBdr>
    </w:div>
    <w:div w:id="636297614">
      <w:bodyDiv w:val="1"/>
      <w:marLeft w:val="0"/>
      <w:marRight w:val="0"/>
      <w:marTop w:val="0"/>
      <w:marBottom w:val="0"/>
      <w:divBdr>
        <w:top w:val="none" w:sz="0" w:space="0" w:color="auto"/>
        <w:left w:val="none" w:sz="0" w:space="0" w:color="auto"/>
        <w:bottom w:val="none" w:sz="0" w:space="0" w:color="auto"/>
        <w:right w:val="none" w:sz="0" w:space="0" w:color="auto"/>
      </w:divBdr>
    </w:div>
    <w:div w:id="648444072">
      <w:bodyDiv w:val="1"/>
      <w:marLeft w:val="0"/>
      <w:marRight w:val="0"/>
      <w:marTop w:val="0"/>
      <w:marBottom w:val="0"/>
      <w:divBdr>
        <w:top w:val="none" w:sz="0" w:space="0" w:color="auto"/>
        <w:left w:val="none" w:sz="0" w:space="0" w:color="auto"/>
        <w:bottom w:val="none" w:sz="0" w:space="0" w:color="auto"/>
        <w:right w:val="none" w:sz="0" w:space="0" w:color="auto"/>
      </w:divBdr>
    </w:div>
    <w:div w:id="649793893">
      <w:bodyDiv w:val="1"/>
      <w:marLeft w:val="0"/>
      <w:marRight w:val="0"/>
      <w:marTop w:val="0"/>
      <w:marBottom w:val="0"/>
      <w:divBdr>
        <w:top w:val="none" w:sz="0" w:space="0" w:color="auto"/>
        <w:left w:val="none" w:sz="0" w:space="0" w:color="auto"/>
        <w:bottom w:val="none" w:sz="0" w:space="0" w:color="auto"/>
        <w:right w:val="none" w:sz="0" w:space="0" w:color="auto"/>
      </w:divBdr>
    </w:div>
    <w:div w:id="661157180">
      <w:bodyDiv w:val="1"/>
      <w:marLeft w:val="0"/>
      <w:marRight w:val="0"/>
      <w:marTop w:val="0"/>
      <w:marBottom w:val="0"/>
      <w:divBdr>
        <w:top w:val="none" w:sz="0" w:space="0" w:color="auto"/>
        <w:left w:val="none" w:sz="0" w:space="0" w:color="auto"/>
        <w:bottom w:val="none" w:sz="0" w:space="0" w:color="auto"/>
        <w:right w:val="none" w:sz="0" w:space="0" w:color="auto"/>
      </w:divBdr>
    </w:div>
    <w:div w:id="661399367">
      <w:bodyDiv w:val="1"/>
      <w:marLeft w:val="0"/>
      <w:marRight w:val="0"/>
      <w:marTop w:val="0"/>
      <w:marBottom w:val="0"/>
      <w:divBdr>
        <w:top w:val="none" w:sz="0" w:space="0" w:color="auto"/>
        <w:left w:val="none" w:sz="0" w:space="0" w:color="auto"/>
        <w:bottom w:val="none" w:sz="0" w:space="0" w:color="auto"/>
        <w:right w:val="none" w:sz="0" w:space="0" w:color="auto"/>
      </w:divBdr>
    </w:div>
    <w:div w:id="678505874">
      <w:bodyDiv w:val="1"/>
      <w:marLeft w:val="0"/>
      <w:marRight w:val="0"/>
      <w:marTop w:val="0"/>
      <w:marBottom w:val="0"/>
      <w:divBdr>
        <w:top w:val="none" w:sz="0" w:space="0" w:color="auto"/>
        <w:left w:val="none" w:sz="0" w:space="0" w:color="auto"/>
        <w:bottom w:val="none" w:sz="0" w:space="0" w:color="auto"/>
        <w:right w:val="none" w:sz="0" w:space="0" w:color="auto"/>
      </w:divBdr>
    </w:div>
    <w:div w:id="685866286">
      <w:bodyDiv w:val="1"/>
      <w:marLeft w:val="0"/>
      <w:marRight w:val="0"/>
      <w:marTop w:val="0"/>
      <w:marBottom w:val="0"/>
      <w:divBdr>
        <w:top w:val="none" w:sz="0" w:space="0" w:color="auto"/>
        <w:left w:val="none" w:sz="0" w:space="0" w:color="auto"/>
        <w:bottom w:val="none" w:sz="0" w:space="0" w:color="auto"/>
        <w:right w:val="none" w:sz="0" w:space="0" w:color="auto"/>
      </w:divBdr>
    </w:div>
    <w:div w:id="686752749">
      <w:bodyDiv w:val="1"/>
      <w:marLeft w:val="0"/>
      <w:marRight w:val="0"/>
      <w:marTop w:val="0"/>
      <w:marBottom w:val="0"/>
      <w:divBdr>
        <w:top w:val="none" w:sz="0" w:space="0" w:color="auto"/>
        <w:left w:val="none" w:sz="0" w:space="0" w:color="auto"/>
        <w:bottom w:val="none" w:sz="0" w:space="0" w:color="auto"/>
        <w:right w:val="none" w:sz="0" w:space="0" w:color="auto"/>
      </w:divBdr>
    </w:div>
    <w:div w:id="696277504">
      <w:bodyDiv w:val="1"/>
      <w:marLeft w:val="0"/>
      <w:marRight w:val="0"/>
      <w:marTop w:val="0"/>
      <w:marBottom w:val="0"/>
      <w:divBdr>
        <w:top w:val="none" w:sz="0" w:space="0" w:color="auto"/>
        <w:left w:val="none" w:sz="0" w:space="0" w:color="auto"/>
        <w:bottom w:val="none" w:sz="0" w:space="0" w:color="auto"/>
        <w:right w:val="none" w:sz="0" w:space="0" w:color="auto"/>
      </w:divBdr>
    </w:div>
    <w:div w:id="715006591">
      <w:bodyDiv w:val="1"/>
      <w:marLeft w:val="0"/>
      <w:marRight w:val="0"/>
      <w:marTop w:val="0"/>
      <w:marBottom w:val="0"/>
      <w:divBdr>
        <w:top w:val="none" w:sz="0" w:space="0" w:color="auto"/>
        <w:left w:val="none" w:sz="0" w:space="0" w:color="auto"/>
        <w:bottom w:val="none" w:sz="0" w:space="0" w:color="auto"/>
        <w:right w:val="none" w:sz="0" w:space="0" w:color="auto"/>
      </w:divBdr>
    </w:div>
    <w:div w:id="722216487">
      <w:bodyDiv w:val="1"/>
      <w:marLeft w:val="0"/>
      <w:marRight w:val="0"/>
      <w:marTop w:val="0"/>
      <w:marBottom w:val="0"/>
      <w:divBdr>
        <w:top w:val="none" w:sz="0" w:space="0" w:color="auto"/>
        <w:left w:val="none" w:sz="0" w:space="0" w:color="auto"/>
        <w:bottom w:val="none" w:sz="0" w:space="0" w:color="auto"/>
        <w:right w:val="none" w:sz="0" w:space="0" w:color="auto"/>
      </w:divBdr>
    </w:div>
    <w:div w:id="725373597">
      <w:bodyDiv w:val="1"/>
      <w:marLeft w:val="0"/>
      <w:marRight w:val="0"/>
      <w:marTop w:val="0"/>
      <w:marBottom w:val="0"/>
      <w:divBdr>
        <w:top w:val="none" w:sz="0" w:space="0" w:color="auto"/>
        <w:left w:val="none" w:sz="0" w:space="0" w:color="auto"/>
        <w:bottom w:val="none" w:sz="0" w:space="0" w:color="auto"/>
        <w:right w:val="none" w:sz="0" w:space="0" w:color="auto"/>
      </w:divBdr>
    </w:div>
    <w:div w:id="742798249">
      <w:bodyDiv w:val="1"/>
      <w:marLeft w:val="0"/>
      <w:marRight w:val="0"/>
      <w:marTop w:val="0"/>
      <w:marBottom w:val="0"/>
      <w:divBdr>
        <w:top w:val="none" w:sz="0" w:space="0" w:color="auto"/>
        <w:left w:val="none" w:sz="0" w:space="0" w:color="auto"/>
        <w:bottom w:val="none" w:sz="0" w:space="0" w:color="auto"/>
        <w:right w:val="none" w:sz="0" w:space="0" w:color="auto"/>
      </w:divBdr>
    </w:div>
    <w:div w:id="743452788">
      <w:bodyDiv w:val="1"/>
      <w:marLeft w:val="0"/>
      <w:marRight w:val="0"/>
      <w:marTop w:val="0"/>
      <w:marBottom w:val="0"/>
      <w:divBdr>
        <w:top w:val="none" w:sz="0" w:space="0" w:color="auto"/>
        <w:left w:val="none" w:sz="0" w:space="0" w:color="auto"/>
        <w:bottom w:val="none" w:sz="0" w:space="0" w:color="auto"/>
        <w:right w:val="none" w:sz="0" w:space="0" w:color="auto"/>
      </w:divBdr>
    </w:div>
    <w:div w:id="754938058">
      <w:bodyDiv w:val="1"/>
      <w:marLeft w:val="0"/>
      <w:marRight w:val="0"/>
      <w:marTop w:val="0"/>
      <w:marBottom w:val="0"/>
      <w:divBdr>
        <w:top w:val="none" w:sz="0" w:space="0" w:color="auto"/>
        <w:left w:val="none" w:sz="0" w:space="0" w:color="auto"/>
        <w:bottom w:val="none" w:sz="0" w:space="0" w:color="auto"/>
        <w:right w:val="none" w:sz="0" w:space="0" w:color="auto"/>
      </w:divBdr>
    </w:div>
    <w:div w:id="755827104">
      <w:bodyDiv w:val="1"/>
      <w:marLeft w:val="0"/>
      <w:marRight w:val="0"/>
      <w:marTop w:val="0"/>
      <w:marBottom w:val="0"/>
      <w:divBdr>
        <w:top w:val="none" w:sz="0" w:space="0" w:color="auto"/>
        <w:left w:val="none" w:sz="0" w:space="0" w:color="auto"/>
        <w:bottom w:val="none" w:sz="0" w:space="0" w:color="auto"/>
        <w:right w:val="none" w:sz="0" w:space="0" w:color="auto"/>
      </w:divBdr>
    </w:div>
    <w:div w:id="756950323">
      <w:bodyDiv w:val="1"/>
      <w:marLeft w:val="0"/>
      <w:marRight w:val="0"/>
      <w:marTop w:val="0"/>
      <w:marBottom w:val="0"/>
      <w:divBdr>
        <w:top w:val="none" w:sz="0" w:space="0" w:color="auto"/>
        <w:left w:val="none" w:sz="0" w:space="0" w:color="auto"/>
        <w:bottom w:val="none" w:sz="0" w:space="0" w:color="auto"/>
        <w:right w:val="none" w:sz="0" w:space="0" w:color="auto"/>
      </w:divBdr>
    </w:div>
    <w:div w:id="758064735">
      <w:bodyDiv w:val="1"/>
      <w:marLeft w:val="0"/>
      <w:marRight w:val="0"/>
      <w:marTop w:val="0"/>
      <w:marBottom w:val="0"/>
      <w:divBdr>
        <w:top w:val="none" w:sz="0" w:space="0" w:color="auto"/>
        <w:left w:val="none" w:sz="0" w:space="0" w:color="auto"/>
        <w:bottom w:val="none" w:sz="0" w:space="0" w:color="auto"/>
        <w:right w:val="none" w:sz="0" w:space="0" w:color="auto"/>
      </w:divBdr>
    </w:div>
    <w:div w:id="774909574">
      <w:bodyDiv w:val="1"/>
      <w:marLeft w:val="0"/>
      <w:marRight w:val="0"/>
      <w:marTop w:val="0"/>
      <w:marBottom w:val="0"/>
      <w:divBdr>
        <w:top w:val="none" w:sz="0" w:space="0" w:color="auto"/>
        <w:left w:val="none" w:sz="0" w:space="0" w:color="auto"/>
        <w:bottom w:val="none" w:sz="0" w:space="0" w:color="auto"/>
        <w:right w:val="none" w:sz="0" w:space="0" w:color="auto"/>
      </w:divBdr>
    </w:div>
    <w:div w:id="775102553">
      <w:bodyDiv w:val="1"/>
      <w:marLeft w:val="0"/>
      <w:marRight w:val="0"/>
      <w:marTop w:val="0"/>
      <w:marBottom w:val="0"/>
      <w:divBdr>
        <w:top w:val="none" w:sz="0" w:space="0" w:color="auto"/>
        <w:left w:val="none" w:sz="0" w:space="0" w:color="auto"/>
        <w:bottom w:val="none" w:sz="0" w:space="0" w:color="auto"/>
        <w:right w:val="none" w:sz="0" w:space="0" w:color="auto"/>
      </w:divBdr>
    </w:div>
    <w:div w:id="777333673">
      <w:bodyDiv w:val="1"/>
      <w:marLeft w:val="0"/>
      <w:marRight w:val="0"/>
      <w:marTop w:val="0"/>
      <w:marBottom w:val="0"/>
      <w:divBdr>
        <w:top w:val="none" w:sz="0" w:space="0" w:color="auto"/>
        <w:left w:val="none" w:sz="0" w:space="0" w:color="auto"/>
        <w:bottom w:val="none" w:sz="0" w:space="0" w:color="auto"/>
        <w:right w:val="none" w:sz="0" w:space="0" w:color="auto"/>
      </w:divBdr>
    </w:div>
    <w:div w:id="778254285">
      <w:bodyDiv w:val="1"/>
      <w:marLeft w:val="0"/>
      <w:marRight w:val="0"/>
      <w:marTop w:val="0"/>
      <w:marBottom w:val="0"/>
      <w:divBdr>
        <w:top w:val="none" w:sz="0" w:space="0" w:color="auto"/>
        <w:left w:val="none" w:sz="0" w:space="0" w:color="auto"/>
        <w:bottom w:val="none" w:sz="0" w:space="0" w:color="auto"/>
        <w:right w:val="none" w:sz="0" w:space="0" w:color="auto"/>
      </w:divBdr>
    </w:div>
    <w:div w:id="780997972">
      <w:bodyDiv w:val="1"/>
      <w:marLeft w:val="0"/>
      <w:marRight w:val="0"/>
      <w:marTop w:val="0"/>
      <w:marBottom w:val="0"/>
      <w:divBdr>
        <w:top w:val="none" w:sz="0" w:space="0" w:color="auto"/>
        <w:left w:val="none" w:sz="0" w:space="0" w:color="auto"/>
        <w:bottom w:val="none" w:sz="0" w:space="0" w:color="auto"/>
        <w:right w:val="none" w:sz="0" w:space="0" w:color="auto"/>
      </w:divBdr>
    </w:div>
    <w:div w:id="786922937">
      <w:bodyDiv w:val="1"/>
      <w:marLeft w:val="0"/>
      <w:marRight w:val="0"/>
      <w:marTop w:val="0"/>
      <w:marBottom w:val="0"/>
      <w:divBdr>
        <w:top w:val="none" w:sz="0" w:space="0" w:color="auto"/>
        <w:left w:val="none" w:sz="0" w:space="0" w:color="auto"/>
        <w:bottom w:val="none" w:sz="0" w:space="0" w:color="auto"/>
        <w:right w:val="none" w:sz="0" w:space="0" w:color="auto"/>
      </w:divBdr>
    </w:div>
    <w:div w:id="787048670">
      <w:bodyDiv w:val="1"/>
      <w:marLeft w:val="0"/>
      <w:marRight w:val="0"/>
      <w:marTop w:val="0"/>
      <w:marBottom w:val="0"/>
      <w:divBdr>
        <w:top w:val="none" w:sz="0" w:space="0" w:color="auto"/>
        <w:left w:val="none" w:sz="0" w:space="0" w:color="auto"/>
        <w:bottom w:val="none" w:sz="0" w:space="0" w:color="auto"/>
        <w:right w:val="none" w:sz="0" w:space="0" w:color="auto"/>
      </w:divBdr>
    </w:div>
    <w:div w:id="790324843">
      <w:bodyDiv w:val="1"/>
      <w:marLeft w:val="0"/>
      <w:marRight w:val="0"/>
      <w:marTop w:val="0"/>
      <w:marBottom w:val="0"/>
      <w:divBdr>
        <w:top w:val="none" w:sz="0" w:space="0" w:color="auto"/>
        <w:left w:val="none" w:sz="0" w:space="0" w:color="auto"/>
        <w:bottom w:val="none" w:sz="0" w:space="0" w:color="auto"/>
        <w:right w:val="none" w:sz="0" w:space="0" w:color="auto"/>
      </w:divBdr>
    </w:div>
    <w:div w:id="796030811">
      <w:bodyDiv w:val="1"/>
      <w:marLeft w:val="0"/>
      <w:marRight w:val="0"/>
      <w:marTop w:val="0"/>
      <w:marBottom w:val="0"/>
      <w:divBdr>
        <w:top w:val="none" w:sz="0" w:space="0" w:color="auto"/>
        <w:left w:val="none" w:sz="0" w:space="0" w:color="auto"/>
        <w:bottom w:val="none" w:sz="0" w:space="0" w:color="auto"/>
        <w:right w:val="none" w:sz="0" w:space="0" w:color="auto"/>
      </w:divBdr>
    </w:div>
    <w:div w:id="805051078">
      <w:bodyDiv w:val="1"/>
      <w:marLeft w:val="0"/>
      <w:marRight w:val="0"/>
      <w:marTop w:val="0"/>
      <w:marBottom w:val="0"/>
      <w:divBdr>
        <w:top w:val="none" w:sz="0" w:space="0" w:color="auto"/>
        <w:left w:val="none" w:sz="0" w:space="0" w:color="auto"/>
        <w:bottom w:val="none" w:sz="0" w:space="0" w:color="auto"/>
        <w:right w:val="none" w:sz="0" w:space="0" w:color="auto"/>
      </w:divBdr>
    </w:div>
    <w:div w:id="812453953">
      <w:bodyDiv w:val="1"/>
      <w:marLeft w:val="0"/>
      <w:marRight w:val="0"/>
      <w:marTop w:val="0"/>
      <w:marBottom w:val="0"/>
      <w:divBdr>
        <w:top w:val="none" w:sz="0" w:space="0" w:color="auto"/>
        <w:left w:val="none" w:sz="0" w:space="0" w:color="auto"/>
        <w:bottom w:val="none" w:sz="0" w:space="0" w:color="auto"/>
        <w:right w:val="none" w:sz="0" w:space="0" w:color="auto"/>
      </w:divBdr>
    </w:div>
    <w:div w:id="820081843">
      <w:bodyDiv w:val="1"/>
      <w:marLeft w:val="0"/>
      <w:marRight w:val="0"/>
      <w:marTop w:val="0"/>
      <w:marBottom w:val="0"/>
      <w:divBdr>
        <w:top w:val="none" w:sz="0" w:space="0" w:color="auto"/>
        <w:left w:val="none" w:sz="0" w:space="0" w:color="auto"/>
        <w:bottom w:val="none" w:sz="0" w:space="0" w:color="auto"/>
        <w:right w:val="none" w:sz="0" w:space="0" w:color="auto"/>
      </w:divBdr>
    </w:div>
    <w:div w:id="822621937">
      <w:bodyDiv w:val="1"/>
      <w:marLeft w:val="0"/>
      <w:marRight w:val="0"/>
      <w:marTop w:val="0"/>
      <w:marBottom w:val="0"/>
      <w:divBdr>
        <w:top w:val="none" w:sz="0" w:space="0" w:color="auto"/>
        <w:left w:val="none" w:sz="0" w:space="0" w:color="auto"/>
        <w:bottom w:val="none" w:sz="0" w:space="0" w:color="auto"/>
        <w:right w:val="none" w:sz="0" w:space="0" w:color="auto"/>
      </w:divBdr>
    </w:div>
    <w:div w:id="838082679">
      <w:bodyDiv w:val="1"/>
      <w:marLeft w:val="0"/>
      <w:marRight w:val="0"/>
      <w:marTop w:val="0"/>
      <w:marBottom w:val="0"/>
      <w:divBdr>
        <w:top w:val="none" w:sz="0" w:space="0" w:color="auto"/>
        <w:left w:val="none" w:sz="0" w:space="0" w:color="auto"/>
        <w:bottom w:val="none" w:sz="0" w:space="0" w:color="auto"/>
        <w:right w:val="none" w:sz="0" w:space="0" w:color="auto"/>
      </w:divBdr>
    </w:div>
    <w:div w:id="838429164">
      <w:bodyDiv w:val="1"/>
      <w:marLeft w:val="0"/>
      <w:marRight w:val="0"/>
      <w:marTop w:val="0"/>
      <w:marBottom w:val="0"/>
      <w:divBdr>
        <w:top w:val="none" w:sz="0" w:space="0" w:color="auto"/>
        <w:left w:val="none" w:sz="0" w:space="0" w:color="auto"/>
        <w:bottom w:val="none" w:sz="0" w:space="0" w:color="auto"/>
        <w:right w:val="none" w:sz="0" w:space="0" w:color="auto"/>
      </w:divBdr>
    </w:div>
    <w:div w:id="838470762">
      <w:bodyDiv w:val="1"/>
      <w:marLeft w:val="0"/>
      <w:marRight w:val="0"/>
      <w:marTop w:val="0"/>
      <w:marBottom w:val="0"/>
      <w:divBdr>
        <w:top w:val="none" w:sz="0" w:space="0" w:color="auto"/>
        <w:left w:val="none" w:sz="0" w:space="0" w:color="auto"/>
        <w:bottom w:val="none" w:sz="0" w:space="0" w:color="auto"/>
        <w:right w:val="none" w:sz="0" w:space="0" w:color="auto"/>
      </w:divBdr>
    </w:div>
    <w:div w:id="843010485">
      <w:bodyDiv w:val="1"/>
      <w:marLeft w:val="0"/>
      <w:marRight w:val="0"/>
      <w:marTop w:val="0"/>
      <w:marBottom w:val="0"/>
      <w:divBdr>
        <w:top w:val="none" w:sz="0" w:space="0" w:color="auto"/>
        <w:left w:val="none" w:sz="0" w:space="0" w:color="auto"/>
        <w:bottom w:val="none" w:sz="0" w:space="0" w:color="auto"/>
        <w:right w:val="none" w:sz="0" w:space="0" w:color="auto"/>
      </w:divBdr>
    </w:div>
    <w:div w:id="843517452">
      <w:bodyDiv w:val="1"/>
      <w:marLeft w:val="0"/>
      <w:marRight w:val="0"/>
      <w:marTop w:val="0"/>
      <w:marBottom w:val="0"/>
      <w:divBdr>
        <w:top w:val="none" w:sz="0" w:space="0" w:color="auto"/>
        <w:left w:val="none" w:sz="0" w:space="0" w:color="auto"/>
        <w:bottom w:val="none" w:sz="0" w:space="0" w:color="auto"/>
        <w:right w:val="none" w:sz="0" w:space="0" w:color="auto"/>
      </w:divBdr>
    </w:div>
    <w:div w:id="855314238">
      <w:bodyDiv w:val="1"/>
      <w:marLeft w:val="0"/>
      <w:marRight w:val="0"/>
      <w:marTop w:val="0"/>
      <w:marBottom w:val="0"/>
      <w:divBdr>
        <w:top w:val="none" w:sz="0" w:space="0" w:color="auto"/>
        <w:left w:val="none" w:sz="0" w:space="0" w:color="auto"/>
        <w:bottom w:val="none" w:sz="0" w:space="0" w:color="auto"/>
        <w:right w:val="none" w:sz="0" w:space="0" w:color="auto"/>
      </w:divBdr>
    </w:div>
    <w:div w:id="869225900">
      <w:bodyDiv w:val="1"/>
      <w:marLeft w:val="0"/>
      <w:marRight w:val="0"/>
      <w:marTop w:val="0"/>
      <w:marBottom w:val="0"/>
      <w:divBdr>
        <w:top w:val="none" w:sz="0" w:space="0" w:color="auto"/>
        <w:left w:val="none" w:sz="0" w:space="0" w:color="auto"/>
        <w:bottom w:val="none" w:sz="0" w:space="0" w:color="auto"/>
        <w:right w:val="none" w:sz="0" w:space="0" w:color="auto"/>
      </w:divBdr>
    </w:div>
    <w:div w:id="873691136">
      <w:bodyDiv w:val="1"/>
      <w:marLeft w:val="0"/>
      <w:marRight w:val="0"/>
      <w:marTop w:val="0"/>
      <w:marBottom w:val="0"/>
      <w:divBdr>
        <w:top w:val="none" w:sz="0" w:space="0" w:color="auto"/>
        <w:left w:val="none" w:sz="0" w:space="0" w:color="auto"/>
        <w:bottom w:val="none" w:sz="0" w:space="0" w:color="auto"/>
        <w:right w:val="none" w:sz="0" w:space="0" w:color="auto"/>
      </w:divBdr>
    </w:div>
    <w:div w:id="874199146">
      <w:bodyDiv w:val="1"/>
      <w:marLeft w:val="0"/>
      <w:marRight w:val="0"/>
      <w:marTop w:val="0"/>
      <w:marBottom w:val="0"/>
      <w:divBdr>
        <w:top w:val="none" w:sz="0" w:space="0" w:color="auto"/>
        <w:left w:val="none" w:sz="0" w:space="0" w:color="auto"/>
        <w:bottom w:val="none" w:sz="0" w:space="0" w:color="auto"/>
        <w:right w:val="none" w:sz="0" w:space="0" w:color="auto"/>
      </w:divBdr>
    </w:div>
    <w:div w:id="878904943">
      <w:bodyDiv w:val="1"/>
      <w:marLeft w:val="0"/>
      <w:marRight w:val="0"/>
      <w:marTop w:val="0"/>
      <w:marBottom w:val="0"/>
      <w:divBdr>
        <w:top w:val="none" w:sz="0" w:space="0" w:color="auto"/>
        <w:left w:val="none" w:sz="0" w:space="0" w:color="auto"/>
        <w:bottom w:val="none" w:sz="0" w:space="0" w:color="auto"/>
        <w:right w:val="none" w:sz="0" w:space="0" w:color="auto"/>
      </w:divBdr>
    </w:div>
    <w:div w:id="898370078">
      <w:bodyDiv w:val="1"/>
      <w:marLeft w:val="0"/>
      <w:marRight w:val="0"/>
      <w:marTop w:val="0"/>
      <w:marBottom w:val="0"/>
      <w:divBdr>
        <w:top w:val="none" w:sz="0" w:space="0" w:color="auto"/>
        <w:left w:val="none" w:sz="0" w:space="0" w:color="auto"/>
        <w:bottom w:val="none" w:sz="0" w:space="0" w:color="auto"/>
        <w:right w:val="none" w:sz="0" w:space="0" w:color="auto"/>
      </w:divBdr>
    </w:div>
    <w:div w:id="902132448">
      <w:bodyDiv w:val="1"/>
      <w:marLeft w:val="0"/>
      <w:marRight w:val="0"/>
      <w:marTop w:val="0"/>
      <w:marBottom w:val="0"/>
      <w:divBdr>
        <w:top w:val="none" w:sz="0" w:space="0" w:color="auto"/>
        <w:left w:val="none" w:sz="0" w:space="0" w:color="auto"/>
        <w:bottom w:val="none" w:sz="0" w:space="0" w:color="auto"/>
        <w:right w:val="none" w:sz="0" w:space="0" w:color="auto"/>
      </w:divBdr>
    </w:div>
    <w:div w:id="902177255">
      <w:bodyDiv w:val="1"/>
      <w:marLeft w:val="0"/>
      <w:marRight w:val="0"/>
      <w:marTop w:val="0"/>
      <w:marBottom w:val="0"/>
      <w:divBdr>
        <w:top w:val="none" w:sz="0" w:space="0" w:color="auto"/>
        <w:left w:val="none" w:sz="0" w:space="0" w:color="auto"/>
        <w:bottom w:val="none" w:sz="0" w:space="0" w:color="auto"/>
        <w:right w:val="none" w:sz="0" w:space="0" w:color="auto"/>
      </w:divBdr>
    </w:div>
    <w:div w:id="904610319">
      <w:bodyDiv w:val="1"/>
      <w:marLeft w:val="0"/>
      <w:marRight w:val="0"/>
      <w:marTop w:val="0"/>
      <w:marBottom w:val="0"/>
      <w:divBdr>
        <w:top w:val="none" w:sz="0" w:space="0" w:color="auto"/>
        <w:left w:val="none" w:sz="0" w:space="0" w:color="auto"/>
        <w:bottom w:val="none" w:sz="0" w:space="0" w:color="auto"/>
        <w:right w:val="none" w:sz="0" w:space="0" w:color="auto"/>
      </w:divBdr>
    </w:div>
    <w:div w:id="938100874">
      <w:bodyDiv w:val="1"/>
      <w:marLeft w:val="0"/>
      <w:marRight w:val="0"/>
      <w:marTop w:val="0"/>
      <w:marBottom w:val="0"/>
      <w:divBdr>
        <w:top w:val="none" w:sz="0" w:space="0" w:color="auto"/>
        <w:left w:val="none" w:sz="0" w:space="0" w:color="auto"/>
        <w:bottom w:val="none" w:sz="0" w:space="0" w:color="auto"/>
        <w:right w:val="none" w:sz="0" w:space="0" w:color="auto"/>
      </w:divBdr>
    </w:div>
    <w:div w:id="943541819">
      <w:bodyDiv w:val="1"/>
      <w:marLeft w:val="0"/>
      <w:marRight w:val="0"/>
      <w:marTop w:val="0"/>
      <w:marBottom w:val="0"/>
      <w:divBdr>
        <w:top w:val="none" w:sz="0" w:space="0" w:color="auto"/>
        <w:left w:val="none" w:sz="0" w:space="0" w:color="auto"/>
        <w:bottom w:val="none" w:sz="0" w:space="0" w:color="auto"/>
        <w:right w:val="none" w:sz="0" w:space="0" w:color="auto"/>
      </w:divBdr>
    </w:div>
    <w:div w:id="947925761">
      <w:bodyDiv w:val="1"/>
      <w:marLeft w:val="0"/>
      <w:marRight w:val="0"/>
      <w:marTop w:val="0"/>
      <w:marBottom w:val="0"/>
      <w:divBdr>
        <w:top w:val="none" w:sz="0" w:space="0" w:color="auto"/>
        <w:left w:val="none" w:sz="0" w:space="0" w:color="auto"/>
        <w:bottom w:val="none" w:sz="0" w:space="0" w:color="auto"/>
        <w:right w:val="none" w:sz="0" w:space="0" w:color="auto"/>
      </w:divBdr>
    </w:div>
    <w:div w:id="978414631">
      <w:bodyDiv w:val="1"/>
      <w:marLeft w:val="0"/>
      <w:marRight w:val="0"/>
      <w:marTop w:val="0"/>
      <w:marBottom w:val="0"/>
      <w:divBdr>
        <w:top w:val="none" w:sz="0" w:space="0" w:color="auto"/>
        <w:left w:val="none" w:sz="0" w:space="0" w:color="auto"/>
        <w:bottom w:val="none" w:sz="0" w:space="0" w:color="auto"/>
        <w:right w:val="none" w:sz="0" w:space="0" w:color="auto"/>
      </w:divBdr>
    </w:div>
    <w:div w:id="978614579">
      <w:bodyDiv w:val="1"/>
      <w:marLeft w:val="0"/>
      <w:marRight w:val="0"/>
      <w:marTop w:val="0"/>
      <w:marBottom w:val="0"/>
      <w:divBdr>
        <w:top w:val="none" w:sz="0" w:space="0" w:color="auto"/>
        <w:left w:val="none" w:sz="0" w:space="0" w:color="auto"/>
        <w:bottom w:val="none" w:sz="0" w:space="0" w:color="auto"/>
        <w:right w:val="none" w:sz="0" w:space="0" w:color="auto"/>
      </w:divBdr>
    </w:div>
    <w:div w:id="978651394">
      <w:bodyDiv w:val="1"/>
      <w:marLeft w:val="0"/>
      <w:marRight w:val="0"/>
      <w:marTop w:val="0"/>
      <w:marBottom w:val="0"/>
      <w:divBdr>
        <w:top w:val="none" w:sz="0" w:space="0" w:color="auto"/>
        <w:left w:val="none" w:sz="0" w:space="0" w:color="auto"/>
        <w:bottom w:val="none" w:sz="0" w:space="0" w:color="auto"/>
        <w:right w:val="none" w:sz="0" w:space="0" w:color="auto"/>
      </w:divBdr>
    </w:div>
    <w:div w:id="989750302">
      <w:bodyDiv w:val="1"/>
      <w:marLeft w:val="0"/>
      <w:marRight w:val="0"/>
      <w:marTop w:val="0"/>
      <w:marBottom w:val="0"/>
      <w:divBdr>
        <w:top w:val="none" w:sz="0" w:space="0" w:color="auto"/>
        <w:left w:val="none" w:sz="0" w:space="0" w:color="auto"/>
        <w:bottom w:val="none" w:sz="0" w:space="0" w:color="auto"/>
        <w:right w:val="none" w:sz="0" w:space="0" w:color="auto"/>
      </w:divBdr>
    </w:div>
    <w:div w:id="1004477449">
      <w:bodyDiv w:val="1"/>
      <w:marLeft w:val="0"/>
      <w:marRight w:val="0"/>
      <w:marTop w:val="0"/>
      <w:marBottom w:val="0"/>
      <w:divBdr>
        <w:top w:val="none" w:sz="0" w:space="0" w:color="auto"/>
        <w:left w:val="none" w:sz="0" w:space="0" w:color="auto"/>
        <w:bottom w:val="none" w:sz="0" w:space="0" w:color="auto"/>
        <w:right w:val="none" w:sz="0" w:space="0" w:color="auto"/>
      </w:divBdr>
    </w:div>
    <w:div w:id="1006791091">
      <w:bodyDiv w:val="1"/>
      <w:marLeft w:val="0"/>
      <w:marRight w:val="0"/>
      <w:marTop w:val="0"/>
      <w:marBottom w:val="0"/>
      <w:divBdr>
        <w:top w:val="none" w:sz="0" w:space="0" w:color="auto"/>
        <w:left w:val="none" w:sz="0" w:space="0" w:color="auto"/>
        <w:bottom w:val="none" w:sz="0" w:space="0" w:color="auto"/>
        <w:right w:val="none" w:sz="0" w:space="0" w:color="auto"/>
      </w:divBdr>
    </w:div>
    <w:div w:id="1013920744">
      <w:bodyDiv w:val="1"/>
      <w:marLeft w:val="0"/>
      <w:marRight w:val="0"/>
      <w:marTop w:val="0"/>
      <w:marBottom w:val="0"/>
      <w:divBdr>
        <w:top w:val="none" w:sz="0" w:space="0" w:color="auto"/>
        <w:left w:val="none" w:sz="0" w:space="0" w:color="auto"/>
        <w:bottom w:val="none" w:sz="0" w:space="0" w:color="auto"/>
        <w:right w:val="none" w:sz="0" w:space="0" w:color="auto"/>
      </w:divBdr>
    </w:div>
    <w:div w:id="1016226929">
      <w:bodyDiv w:val="1"/>
      <w:marLeft w:val="0"/>
      <w:marRight w:val="0"/>
      <w:marTop w:val="0"/>
      <w:marBottom w:val="0"/>
      <w:divBdr>
        <w:top w:val="none" w:sz="0" w:space="0" w:color="auto"/>
        <w:left w:val="none" w:sz="0" w:space="0" w:color="auto"/>
        <w:bottom w:val="none" w:sz="0" w:space="0" w:color="auto"/>
        <w:right w:val="none" w:sz="0" w:space="0" w:color="auto"/>
      </w:divBdr>
    </w:div>
    <w:div w:id="1027675481">
      <w:bodyDiv w:val="1"/>
      <w:marLeft w:val="0"/>
      <w:marRight w:val="0"/>
      <w:marTop w:val="0"/>
      <w:marBottom w:val="0"/>
      <w:divBdr>
        <w:top w:val="none" w:sz="0" w:space="0" w:color="auto"/>
        <w:left w:val="none" w:sz="0" w:space="0" w:color="auto"/>
        <w:bottom w:val="none" w:sz="0" w:space="0" w:color="auto"/>
        <w:right w:val="none" w:sz="0" w:space="0" w:color="auto"/>
      </w:divBdr>
    </w:div>
    <w:div w:id="1043478295">
      <w:bodyDiv w:val="1"/>
      <w:marLeft w:val="0"/>
      <w:marRight w:val="0"/>
      <w:marTop w:val="0"/>
      <w:marBottom w:val="0"/>
      <w:divBdr>
        <w:top w:val="none" w:sz="0" w:space="0" w:color="auto"/>
        <w:left w:val="none" w:sz="0" w:space="0" w:color="auto"/>
        <w:bottom w:val="none" w:sz="0" w:space="0" w:color="auto"/>
        <w:right w:val="none" w:sz="0" w:space="0" w:color="auto"/>
      </w:divBdr>
    </w:div>
    <w:div w:id="1046221255">
      <w:bodyDiv w:val="1"/>
      <w:marLeft w:val="0"/>
      <w:marRight w:val="0"/>
      <w:marTop w:val="0"/>
      <w:marBottom w:val="0"/>
      <w:divBdr>
        <w:top w:val="none" w:sz="0" w:space="0" w:color="auto"/>
        <w:left w:val="none" w:sz="0" w:space="0" w:color="auto"/>
        <w:bottom w:val="none" w:sz="0" w:space="0" w:color="auto"/>
        <w:right w:val="none" w:sz="0" w:space="0" w:color="auto"/>
      </w:divBdr>
    </w:div>
    <w:div w:id="1060247325">
      <w:bodyDiv w:val="1"/>
      <w:marLeft w:val="0"/>
      <w:marRight w:val="0"/>
      <w:marTop w:val="0"/>
      <w:marBottom w:val="0"/>
      <w:divBdr>
        <w:top w:val="none" w:sz="0" w:space="0" w:color="auto"/>
        <w:left w:val="none" w:sz="0" w:space="0" w:color="auto"/>
        <w:bottom w:val="none" w:sz="0" w:space="0" w:color="auto"/>
        <w:right w:val="none" w:sz="0" w:space="0" w:color="auto"/>
      </w:divBdr>
    </w:div>
    <w:div w:id="1063790476">
      <w:bodyDiv w:val="1"/>
      <w:marLeft w:val="0"/>
      <w:marRight w:val="0"/>
      <w:marTop w:val="0"/>
      <w:marBottom w:val="0"/>
      <w:divBdr>
        <w:top w:val="none" w:sz="0" w:space="0" w:color="auto"/>
        <w:left w:val="none" w:sz="0" w:space="0" w:color="auto"/>
        <w:bottom w:val="none" w:sz="0" w:space="0" w:color="auto"/>
        <w:right w:val="none" w:sz="0" w:space="0" w:color="auto"/>
      </w:divBdr>
    </w:div>
    <w:div w:id="1068767956">
      <w:bodyDiv w:val="1"/>
      <w:marLeft w:val="0"/>
      <w:marRight w:val="0"/>
      <w:marTop w:val="0"/>
      <w:marBottom w:val="0"/>
      <w:divBdr>
        <w:top w:val="none" w:sz="0" w:space="0" w:color="auto"/>
        <w:left w:val="none" w:sz="0" w:space="0" w:color="auto"/>
        <w:bottom w:val="none" w:sz="0" w:space="0" w:color="auto"/>
        <w:right w:val="none" w:sz="0" w:space="0" w:color="auto"/>
      </w:divBdr>
    </w:div>
    <w:div w:id="1089085077">
      <w:bodyDiv w:val="1"/>
      <w:marLeft w:val="0"/>
      <w:marRight w:val="0"/>
      <w:marTop w:val="0"/>
      <w:marBottom w:val="0"/>
      <w:divBdr>
        <w:top w:val="none" w:sz="0" w:space="0" w:color="auto"/>
        <w:left w:val="none" w:sz="0" w:space="0" w:color="auto"/>
        <w:bottom w:val="none" w:sz="0" w:space="0" w:color="auto"/>
        <w:right w:val="none" w:sz="0" w:space="0" w:color="auto"/>
      </w:divBdr>
    </w:div>
    <w:div w:id="1092044229">
      <w:bodyDiv w:val="1"/>
      <w:marLeft w:val="0"/>
      <w:marRight w:val="0"/>
      <w:marTop w:val="0"/>
      <w:marBottom w:val="0"/>
      <w:divBdr>
        <w:top w:val="none" w:sz="0" w:space="0" w:color="auto"/>
        <w:left w:val="none" w:sz="0" w:space="0" w:color="auto"/>
        <w:bottom w:val="none" w:sz="0" w:space="0" w:color="auto"/>
        <w:right w:val="none" w:sz="0" w:space="0" w:color="auto"/>
      </w:divBdr>
    </w:div>
    <w:div w:id="1093208858">
      <w:bodyDiv w:val="1"/>
      <w:marLeft w:val="0"/>
      <w:marRight w:val="0"/>
      <w:marTop w:val="0"/>
      <w:marBottom w:val="0"/>
      <w:divBdr>
        <w:top w:val="none" w:sz="0" w:space="0" w:color="auto"/>
        <w:left w:val="none" w:sz="0" w:space="0" w:color="auto"/>
        <w:bottom w:val="none" w:sz="0" w:space="0" w:color="auto"/>
        <w:right w:val="none" w:sz="0" w:space="0" w:color="auto"/>
      </w:divBdr>
    </w:div>
    <w:div w:id="1107237152">
      <w:bodyDiv w:val="1"/>
      <w:marLeft w:val="0"/>
      <w:marRight w:val="0"/>
      <w:marTop w:val="0"/>
      <w:marBottom w:val="0"/>
      <w:divBdr>
        <w:top w:val="none" w:sz="0" w:space="0" w:color="auto"/>
        <w:left w:val="none" w:sz="0" w:space="0" w:color="auto"/>
        <w:bottom w:val="none" w:sz="0" w:space="0" w:color="auto"/>
        <w:right w:val="none" w:sz="0" w:space="0" w:color="auto"/>
      </w:divBdr>
    </w:div>
    <w:div w:id="1114712139">
      <w:bodyDiv w:val="1"/>
      <w:marLeft w:val="0"/>
      <w:marRight w:val="0"/>
      <w:marTop w:val="0"/>
      <w:marBottom w:val="0"/>
      <w:divBdr>
        <w:top w:val="none" w:sz="0" w:space="0" w:color="auto"/>
        <w:left w:val="none" w:sz="0" w:space="0" w:color="auto"/>
        <w:bottom w:val="none" w:sz="0" w:space="0" w:color="auto"/>
        <w:right w:val="none" w:sz="0" w:space="0" w:color="auto"/>
      </w:divBdr>
    </w:div>
    <w:div w:id="1116869033">
      <w:bodyDiv w:val="1"/>
      <w:marLeft w:val="0"/>
      <w:marRight w:val="0"/>
      <w:marTop w:val="0"/>
      <w:marBottom w:val="0"/>
      <w:divBdr>
        <w:top w:val="none" w:sz="0" w:space="0" w:color="auto"/>
        <w:left w:val="none" w:sz="0" w:space="0" w:color="auto"/>
        <w:bottom w:val="none" w:sz="0" w:space="0" w:color="auto"/>
        <w:right w:val="none" w:sz="0" w:space="0" w:color="auto"/>
      </w:divBdr>
    </w:div>
    <w:div w:id="1118837616">
      <w:bodyDiv w:val="1"/>
      <w:marLeft w:val="0"/>
      <w:marRight w:val="0"/>
      <w:marTop w:val="0"/>
      <w:marBottom w:val="0"/>
      <w:divBdr>
        <w:top w:val="none" w:sz="0" w:space="0" w:color="auto"/>
        <w:left w:val="none" w:sz="0" w:space="0" w:color="auto"/>
        <w:bottom w:val="none" w:sz="0" w:space="0" w:color="auto"/>
        <w:right w:val="none" w:sz="0" w:space="0" w:color="auto"/>
      </w:divBdr>
    </w:div>
    <w:div w:id="1119764581">
      <w:bodyDiv w:val="1"/>
      <w:marLeft w:val="0"/>
      <w:marRight w:val="0"/>
      <w:marTop w:val="0"/>
      <w:marBottom w:val="0"/>
      <w:divBdr>
        <w:top w:val="none" w:sz="0" w:space="0" w:color="auto"/>
        <w:left w:val="none" w:sz="0" w:space="0" w:color="auto"/>
        <w:bottom w:val="none" w:sz="0" w:space="0" w:color="auto"/>
        <w:right w:val="none" w:sz="0" w:space="0" w:color="auto"/>
      </w:divBdr>
    </w:div>
    <w:div w:id="1123812858">
      <w:bodyDiv w:val="1"/>
      <w:marLeft w:val="0"/>
      <w:marRight w:val="0"/>
      <w:marTop w:val="0"/>
      <w:marBottom w:val="0"/>
      <w:divBdr>
        <w:top w:val="none" w:sz="0" w:space="0" w:color="auto"/>
        <w:left w:val="none" w:sz="0" w:space="0" w:color="auto"/>
        <w:bottom w:val="none" w:sz="0" w:space="0" w:color="auto"/>
        <w:right w:val="none" w:sz="0" w:space="0" w:color="auto"/>
      </w:divBdr>
    </w:div>
    <w:div w:id="1127285142">
      <w:bodyDiv w:val="1"/>
      <w:marLeft w:val="0"/>
      <w:marRight w:val="0"/>
      <w:marTop w:val="0"/>
      <w:marBottom w:val="0"/>
      <w:divBdr>
        <w:top w:val="none" w:sz="0" w:space="0" w:color="auto"/>
        <w:left w:val="none" w:sz="0" w:space="0" w:color="auto"/>
        <w:bottom w:val="none" w:sz="0" w:space="0" w:color="auto"/>
        <w:right w:val="none" w:sz="0" w:space="0" w:color="auto"/>
      </w:divBdr>
    </w:div>
    <w:div w:id="1127700274">
      <w:bodyDiv w:val="1"/>
      <w:marLeft w:val="0"/>
      <w:marRight w:val="0"/>
      <w:marTop w:val="0"/>
      <w:marBottom w:val="0"/>
      <w:divBdr>
        <w:top w:val="none" w:sz="0" w:space="0" w:color="auto"/>
        <w:left w:val="none" w:sz="0" w:space="0" w:color="auto"/>
        <w:bottom w:val="none" w:sz="0" w:space="0" w:color="auto"/>
        <w:right w:val="none" w:sz="0" w:space="0" w:color="auto"/>
      </w:divBdr>
    </w:div>
    <w:div w:id="1129081597">
      <w:bodyDiv w:val="1"/>
      <w:marLeft w:val="0"/>
      <w:marRight w:val="0"/>
      <w:marTop w:val="0"/>
      <w:marBottom w:val="0"/>
      <w:divBdr>
        <w:top w:val="none" w:sz="0" w:space="0" w:color="auto"/>
        <w:left w:val="none" w:sz="0" w:space="0" w:color="auto"/>
        <w:bottom w:val="none" w:sz="0" w:space="0" w:color="auto"/>
        <w:right w:val="none" w:sz="0" w:space="0" w:color="auto"/>
      </w:divBdr>
    </w:div>
    <w:div w:id="1160535390">
      <w:bodyDiv w:val="1"/>
      <w:marLeft w:val="0"/>
      <w:marRight w:val="0"/>
      <w:marTop w:val="0"/>
      <w:marBottom w:val="0"/>
      <w:divBdr>
        <w:top w:val="none" w:sz="0" w:space="0" w:color="auto"/>
        <w:left w:val="none" w:sz="0" w:space="0" w:color="auto"/>
        <w:bottom w:val="none" w:sz="0" w:space="0" w:color="auto"/>
        <w:right w:val="none" w:sz="0" w:space="0" w:color="auto"/>
      </w:divBdr>
    </w:div>
    <w:div w:id="1160779755">
      <w:bodyDiv w:val="1"/>
      <w:marLeft w:val="0"/>
      <w:marRight w:val="0"/>
      <w:marTop w:val="0"/>
      <w:marBottom w:val="0"/>
      <w:divBdr>
        <w:top w:val="none" w:sz="0" w:space="0" w:color="auto"/>
        <w:left w:val="none" w:sz="0" w:space="0" w:color="auto"/>
        <w:bottom w:val="none" w:sz="0" w:space="0" w:color="auto"/>
        <w:right w:val="none" w:sz="0" w:space="0" w:color="auto"/>
      </w:divBdr>
    </w:div>
    <w:div w:id="1169637251">
      <w:bodyDiv w:val="1"/>
      <w:marLeft w:val="0"/>
      <w:marRight w:val="0"/>
      <w:marTop w:val="0"/>
      <w:marBottom w:val="0"/>
      <w:divBdr>
        <w:top w:val="none" w:sz="0" w:space="0" w:color="auto"/>
        <w:left w:val="none" w:sz="0" w:space="0" w:color="auto"/>
        <w:bottom w:val="none" w:sz="0" w:space="0" w:color="auto"/>
        <w:right w:val="none" w:sz="0" w:space="0" w:color="auto"/>
      </w:divBdr>
    </w:div>
    <w:div w:id="1171799158">
      <w:bodyDiv w:val="1"/>
      <w:marLeft w:val="0"/>
      <w:marRight w:val="0"/>
      <w:marTop w:val="0"/>
      <w:marBottom w:val="0"/>
      <w:divBdr>
        <w:top w:val="none" w:sz="0" w:space="0" w:color="auto"/>
        <w:left w:val="none" w:sz="0" w:space="0" w:color="auto"/>
        <w:bottom w:val="none" w:sz="0" w:space="0" w:color="auto"/>
        <w:right w:val="none" w:sz="0" w:space="0" w:color="auto"/>
      </w:divBdr>
    </w:div>
    <w:div w:id="1175656126">
      <w:bodyDiv w:val="1"/>
      <w:marLeft w:val="0"/>
      <w:marRight w:val="0"/>
      <w:marTop w:val="0"/>
      <w:marBottom w:val="0"/>
      <w:divBdr>
        <w:top w:val="none" w:sz="0" w:space="0" w:color="auto"/>
        <w:left w:val="none" w:sz="0" w:space="0" w:color="auto"/>
        <w:bottom w:val="none" w:sz="0" w:space="0" w:color="auto"/>
        <w:right w:val="none" w:sz="0" w:space="0" w:color="auto"/>
      </w:divBdr>
    </w:div>
    <w:div w:id="1180512376">
      <w:bodyDiv w:val="1"/>
      <w:marLeft w:val="0"/>
      <w:marRight w:val="0"/>
      <w:marTop w:val="0"/>
      <w:marBottom w:val="0"/>
      <w:divBdr>
        <w:top w:val="none" w:sz="0" w:space="0" w:color="auto"/>
        <w:left w:val="none" w:sz="0" w:space="0" w:color="auto"/>
        <w:bottom w:val="none" w:sz="0" w:space="0" w:color="auto"/>
        <w:right w:val="none" w:sz="0" w:space="0" w:color="auto"/>
      </w:divBdr>
    </w:div>
    <w:div w:id="1187477213">
      <w:bodyDiv w:val="1"/>
      <w:marLeft w:val="0"/>
      <w:marRight w:val="0"/>
      <w:marTop w:val="0"/>
      <w:marBottom w:val="0"/>
      <w:divBdr>
        <w:top w:val="none" w:sz="0" w:space="0" w:color="auto"/>
        <w:left w:val="none" w:sz="0" w:space="0" w:color="auto"/>
        <w:bottom w:val="none" w:sz="0" w:space="0" w:color="auto"/>
        <w:right w:val="none" w:sz="0" w:space="0" w:color="auto"/>
      </w:divBdr>
    </w:div>
    <w:div w:id="1190676627">
      <w:bodyDiv w:val="1"/>
      <w:marLeft w:val="0"/>
      <w:marRight w:val="0"/>
      <w:marTop w:val="0"/>
      <w:marBottom w:val="0"/>
      <w:divBdr>
        <w:top w:val="none" w:sz="0" w:space="0" w:color="auto"/>
        <w:left w:val="none" w:sz="0" w:space="0" w:color="auto"/>
        <w:bottom w:val="none" w:sz="0" w:space="0" w:color="auto"/>
        <w:right w:val="none" w:sz="0" w:space="0" w:color="auto"/>
      </w:divBdr>
    </w:div>
    <w:div w:id="1207402438">
      <w:bodyDiv w:val="1"/>
      <w:marLeft w:val="0"/>
      <w:marRight w:val="0"/>
      <w:marTop w:val="0"/>
      <w:marBottom w:val="0"/>
      <w:divBdr>
        <w:top w:val="none" w:sz="0" w:space="0" w:color="auto"/>
        <w:left w:val="none" w:sz="0" w:space="0" w:color="auto"/>
        <w:bottom w:val="none" w:sz="0" w:space="0" w:color="auto"/>
        <w:right w:val="none" w:sz="0" w:space="0" w:color="auto"/>
      </w:divBdr>
    </w:div>
    <w:div w:id="1220631437">
      <w:bodyDiv w:val="1"/>
      <w:marLeft w:val="0"/>
      <w:marRight w:val="0"/>
      <w:marTop w:val="0"/>
      <w:marBottom w:val="0"/>
      <w:divBdr>
        <w:top w:val="none" w:sz="0" w:space="0" w:color="auto"/>
        <w:left w:val="none" w:sz="0" w:space="0" w:color="auto"/>
        <w:bottom w:val="none" w:sz="0" w:space="0" w:color="auto"/>
        <w:right w:val="none" w:sz="0" w:space="0" w:color="auto"/>
      </w:divBdr>
    </w:div>
    <w:div w:id="1236087158">
      <w:bodyDiv w:val="1"/>
      <w:marLeft w:val="0"/>
      <w:marRight w:val="0"/>
      <w:marTop w:val="0"/>
      <w:marBottom w:val="0"/>
      <w:divBdr>
        <w:top w:val="none" w:sz="0" w:space="0" w:color="auto"/>
        <w:left w:val="none" w:sz="0" w:space="0" w:color="auto"/>
        <w:bottom w:val="none" w:sz="0" w:space="0" w:color="auto"/>
        <w:right w:val="none" w:sz="0" w:space="0" w:color="auto"/>
      </w:divBdr>
    </w:div>
    <w:div w:id="1238712057">
      <w:bodyDiv w:val="1"/>
      <w:marLeft w:val="0"/>
      <w:marRight w:val="0"/>
      <w:marTop w:val="0"/>
      <w:marBottom w:val="0"/>
      <w:divBdr>
        <w:top w:val="none" w:sz="0" w:space="0" w:color="auto"/>
        <w:left w:val="none" w:sz="0" w:space="0" w:color="auto"/>
        <w:bottom w:val="none" w:sz="0" w:space="0" w:color="auto"/>
        <w:right w:val="none" w:sz="0" w:space="0" w:color="auto"/>
      </w:divBdr>
    </w:div>
    <w:div w:id="1244948314">
      <w:bodyDiv w:val="1"/>
      <w:marLeft w:val="0"/>
      <w:marRight w:val="0"/>
      <w:marTop w:val="0"/>
      <w:marBottom w:val="0"/>
      <w:divBdr>
        <w:top w:val="none" w:sz="0" w:space="0" w:color="auto"/>
        <w:left w:val="none" w:sz="0" w:space="0" w:color="auto"/>
        <w:bottom w:val="none" w:sz="0" w:space="0" w:color="auto"/>
        <w:right w:val="none" w:sz="0" w:space="0" w:color="auto"/>
      </w:divBdr>
    </w:div>
    <w:div w:id="1248537151">
      <w:bodyDiv w:val="1"/>
      <w:marLeft w:val="0"/>
      <w:marRight w:val="0"/>
      <w:marTop w:val="0"/>
      <w:marBottom w:val="0"/>
      <w:divBdr>
        <w:top w:val="none" w:sz="0" w:space="0" w:color="auto"/>
        <w:left w:val="none" w:sz="0" w:space="0" w:color="auto"/>
        <w:bottom w:val="none" w:sz="0" w:space="0" w:color="auto"/>
        <w:right w:val="none" w:sz="0" w:space="0" w:color="auto"/>
      </w:divBdr>
    </w:div>
    <w:div w:id="1256326348">
      <w:bodyDiv w:val="1"/>
      <w:marLeft w:val="0"/>
      <w:marRight w:val="0"/>
      <w:marTop w:val="0"/>
      <w:marBottom w:val="0"/>
      <w:divBdr>
        <w:top w:val="none" w:sz="0" w:space="0" w:color="auto"/>
        <w:left w:val="none" w:sz="0" w:space="0" w:color="auto"/>
        <w:bottom w:val="none" w:sz="0" w:space="0" w:color="auto"/>
        <w:right w:val="none" w:sz="0" w:space="0" w:color="auto"/>
      </w:divBdr>
    </w:div>
    <w:div w:id="1263609314">
      <w:bodyDiv w:val="1"/>
      <w:marLeft w:val="0"/>
      <w:marRight w:val="0"/>
      <w:marTop w:val="0"/>
      <w:marBottom w:val="0"/>
      <w:divBdr>
        <w:top w:val="none" w:sz="0" w:space="0" w:color="auto"/>
        <w:left w:val="none" w:sz="0" w:space="0" w:color="auto"/>
        <w:bottom w:val="none" w:sz="0" w:space="0" w:color="auto"/>
        <w:right w:val="none" w:sz="0" w:space="0" w:color="auto"/>
      </w:divBdr>
    </w:div>
    <w:div w:id="1271084929">
      <w:bodyDiv w:val="1"/>
      <w:marLeft w:val="0"/>
      <w:marRight w:val="0"/>
      <w:marTop w:val="0"/>
      <w:marBottom w:val="0"/>
      <w:divBdr>
        <w:top w:val="none" w:sz="0" w:space="0" w:color="auto"/>
        <w:left w:val="none" w:sz="0" w:space="0" w:color="auto"/>
        <w:bottom w:val="none" w:sz="0" w:space="0" w:color="auto"/>
        <w:right w:val="none" w:sz="0" w:space="0" w:color="auto"/>
      </w:divBdr>
    </w:div>
    <w:div w:id="1282805693">
      <w:bodyDiv w:val="1"/>
      <w:marLeft w:val="0"/>
      <w:marRight w:val="0"/>
      <w:marTop w:val="0"/>
      <w:marBottom w:val="0"/>
      <w:divBdr>
        <w:top w:val="none" w:sz="0" w:space="0" w:color="auto"/>
        <w:left w:val="none" w:sz="0" w:space="0" w:color="auto"/>
        <w:bottom w:val="none" w:sz="0" w:space="0" w:color="auto"/>
        <w:right w:val="none" w:sz="0" w:space="0" w:color="auto"/>
      </w:divBdr>
    </w:div>
    <w:div w:id="1286887037">
      <w:bodyDiv w:val="1"/>
      <w:marLeft w:val="0"/>
      <w:marRight w:val="0"/>
      <w:marTop w:val="0"/>
      <w:marBottom w:val="0"/>
      <w:divBdr>
        <w:top w:val="none" w:sz="0" w:space="0" w:color="auto"/>
        <w:left w:val="none" w:sz="0" w:space="0" w:color="auto"/>
        <w:bottom w:val="none" w:sz="0" w:space="0" w:color="auto"/>
        <w:right w:val="none" w:sz="0" w:space="0" w:color="auto"/>
      </w:divBdr>
    </w:div>
    <w:div w:id="1288049750">
      <w:bodyDiv w:val="1"/>
      <w:marLeft w:val="0"/>
      <w:marRight w:val="0"/>
      <w:marTop w:val="0"/>
      <w:marBottom w:val="0"/>
      <w:divBdr>
        <w:top w:val="none" w:sz="0" w:space="0" w:color="auto"/>
        <w:left w:val="none" w:sz="0" w:space="0" w:color="auto"/>
        <w:bottom w:val="none" w:sz="0" w:space="0" w:color="auto"/>
        <w:right w:val="none" w:sz="0" w:space="0" w:color="auto"/>
      </w:divBdr>
    </w:div>
    <w:div w:id="1288315801">
      <w:bodyDiv w:val="1"/>
      <w:marLeft w:val="0"/>
      <w:marRight w:val="0"/>
      <w:marTop w:val="0"/>
      <w:marBottom w:val="0"/>
      <w:divBdr>
        <w:top w:val="none" w:sz="0" w:space="0" w:color="auto"/>
        <w:left w:val="none" w:sz="0" w:space="0" w:color="auto"/>
        <w:bottom w:val="none" w:sz="0" w:space="0" w:color="auto"/>
        <w:right w:val="none" w:sz="0" w:space="0" w:color="auto"/>
      </w:divBdr>
    </w:div>
    <w:div w:id="1289775407">
      <w:bodyDiv w:val="1"/>
      <w:marLeft w:val="0"/>
      <w:marRight w:val="0"/>
      <w:marTop w:val="0"/>
      <w:marBottom w:val="0"/>
      <w:divBdr>
        <w:top w:val="none" w:sz="0" w:space="0" w:color="auto"/>
        <w:left w:val="none" w:sz="0" w:space="0" w:color="auto"/>
        <w:bottom w:val="none" w:sz="0" w:space="0" w:color="auto"/>
        <w:right w:val="none" w:sz="0" w:space="0" w:color="auto"/>
      </w:divBdr>
    </w:div>
    <w:div w:id="1296645916">
      <w:bodyDiv w:val="1"/>
      <w:marLeft w:val="0"/>
      <w:marRight w:val="0"/>
      <w:marTop w:val="0"/>
      <w:marBottom w:val="0"/>
      <w:divBdr>
        <w:top w:val="none" w:sz="0" w:space="0" w:color="auto"/>
        <w:left w:val="none" w:sz="0" w:space="0" w:color="auto"/>
        <w:bottom w:val="none" w:sz="0" w:space="0" w:color="auto"/>
        <w:right w:val="none" w:sz="0" w:space="0" w:color="auto"/>
      </w:divBdr>
    </w:div>
    <w:div w:id="1303584854">
      <w:bodyDiv w:val="1"/>
      <w:marLeft w:val="0"/>
      <w:marRight w:val="0"/>
      <w:marTop w:val="0"/>
      <w:marBottom w:val="0"/>
      <w:divBdr>
        <w:top w:val="none" w:sz="0" w:space="0" w:color="auto"/>
        <w:left w:val="none" w:sz="0" w:space="0" w:color="auto"/>
        <w:bottom w:val="none" w:sz="0" w:space="0" w:color="auto"/>
        <w:right w:val="none" w:sz="0" w:space="0" w:color="auto"/>
      </w:divBdr>
    </w:div>
    <w:div w:id="1320571977">
      <w:bodyDiv w:val="1"/>
      <w:marLeft w:val="0"/>
      <w:marRight w:val="0"/>
      <w:marTop w:val="0"/>
      <w:marBottom w:val="0"/>
      <w:divBdr>
        <w:top w:val="none" w:sz="0" w:space="0" w:color="auto"/>
        <w:left w:val="none" w:sz="0" w:space="0" w:color="auto"/>
        <w:bottom w:val="none" w:sz="0" w:space="0" w:color="auto"/>
        <w:right w:val="none" w:sz="0" w:space="0" w:color="auto"/>
      </w:divBdr>
    </w:div>
    <w:div w:id="1340423483">
      <w:bodyDiv w:val="1"/>
      <w:marLeft w:val="0"/>
      <w:marRight w:val="0"/>
      <w:marTop w:val="0"/>
      <w:marBottom w:val="0"/>
      <w:divBdr>
        <w:top w:val="none" w:sz="0" w:space="0" w:color="auto"/>
        <w:left w:val="none" w:sz="0" w:space="0" w:color="auto"/>
        <w:bottom w:val="none" w:sz="0" w:space="0" w:color="auto"/>
        <w:right w:val="none" w:sz="0" w:space="0" w:color="auto"/>
      </w:divBdr>
    </w:div>
    <w:div w:id="1375495500">
      <w:bodyDiv w:val="1"/>
      <w:marLeft w:val="0"/>
      <w:marRight w:val="0"/>
      <w:marTop w:val="0"/>
      <w:marBottom w:val="0"/>
      <w:divBdr>
        <w:top w:val="none" w:sz="0" w:space="0" w:color="auto"/>
        <w:left w:val="none" w:sz="0" w:space="0" w:color="auto"/>
        <w:bottom w:val="none" w:sz="0" w:space="0" w:color="auto"/>
        <w:right w:val="none" w:sz="0" w:space="0" w:color="auto"/>
      </w:divBdr>
    </w:div>
    <w:div w:id="1376268525">
      <w:bodyDiv w:val="1"/>
      <w:marLeft w:val="0"/>
      <w:marRight w:val="0"/>
      <w:marTop w:val="0"/>
      <w:marBottom w:val="0"/>
      <w:divBdr>
        <w:top w:val="none" w:sz="0" w:space="0" w:color="auto"/>
        <w:left w:val="none" w:sz="0" w:space="0" w:color="auto"/>
        <w:bottom w:val="none" w:sz="0" w:space="0" w:color="auto"/>
        <w:right w:val="none" w:sz="0" w:space="0" w:color="auto"/>
      </w:divBdr>
    </w:div>
    <w:div w:id="1381393792">
      <w:bodyDiv w:val="1"/>
      <w:marLeft w:val="0"/>
      <w:marRight w:val="0"/>
      <w:marTop w:val="0"/>
      <w:marBottom w:val="0"/>
      <w:divBdr>
        <w:top w:val="none" w:sz="0" w:space="0" w:color="auto"/>
        <w:left w:val="none" w:sz="0" w:space="0" w:color="auto"/>
        <w:bottom w:val="none" w:sz="0" w:space="0" w:color="auto"/>
        <w:right w:val="none" w:sz="0" w:space="0" w:color="auto"/>
      </w:divBdr>
    </w:div>
    <w:div w:id="1418671012">
      <w:bodyDiv w:val="1"/>
      <w:marLeft w:val="0"/>
      <w:marRight w:val="0"/>
      <w:marTop w:val="0"/>
      <w:marBottom w:val="0"/>
      <w:divBdr>
        <w:top w:val="none" w:sz="0" w:space="0" w:color="auto"/>
        <w:left w:val="none" w:sz="0" w:space="0" w:color="auto"/>
        <w:bottom w:val="none" w:sz="0" w:space="0" w:color="auto"/>
        <w:right w:val="none" w:sz="0" w:space="0" w:color="auto"/>
      </w:divBdr>
    </w:div>
    <w:div w:id="1421876149">
      <w:bodyDiv w:val="1"/>
      <w:marLeft w:val="0"/>
      <w:marRight w:val="0"/>
      <w:marTop w:val="0"/>
      <w:marBottom w:val="0"/>
      <w:divBdr>
        <w:top w:val="none" w:sz="0" w:space="0" w:color="auto"/>
        <w:left w:val="none" w:sz="0" w:space="0" w:color="auto"/>
        <w:bottom w:val="none" w:sz="0" w:space="0" w:color="auto"/>
        <w:right w:val="none" w:sz="0" w:space="0" w:color="auto"/>
      </w:divBdr>
    </w:div>
    <w:div w:id="1430081101">
      <w:bodyDiv w:val="1"/>
      <w:marLeft w:val="0"/>
      <w:marRight w:val="0"/>
      <w:marTop w:val="0"/>
      <w:marBottom w:val="0"/>
      <w:divBdr>
        <w:top w:val="none" w:sz="0" w:space="0" w:color="auto"/>
        <w:left w:val="none" w:sz="0" w:space="0" w:color="auto"/>
        <w:bottom w:val="none" w:sz="0" w:space="0" w:color="auto"/>
        <w:right w:val="none" w:sz="0" w:space="0" w:color="auto"/>
      </w:divBdr>
    </w:div>
    <w:div w:id="1433473809">
      <w:bodyDiv w:val="1"/>
      <w:marLeft w:val="0"/>
      <w:marRight w:val="0"/>
      <w:marTop w:val="0"/>
      <w:marBottom w:val="0"/>
      <w:divBdr>
        <w:top w:val="none" w:sz="0" w:space="0" w:color="auto"/>
        <w:left w:val="none" w:sz="0" w:space="0" w:color="auto"/>
        <w:bottom w:val="none" w:sz="0" w:space="0" w:color="auto"/>
        <w:right w:val="none" w:sz="0" w:space="0" w:color="auto"/>
      </w:divBdr>
    </w:div>
    <w:div w:id="1437141597">
      <w:bodyDiv w:val="1"/>
      <w:marLeft w:val="0"/>
      <w:marRight w:val="0"/>
      <w:marTop w:val="0"/>
      <w:marBottom w:val="0"/>
      <w:divBdr>
        <w:top w:val="none" w:sz="0" w:space="0" w:color="auto"/>
        <w:left w:val="none" w:sz="0" w:space="0" w:color="auto"/>
        <w:bottom w:val="none" w:sz="0" w:space="0" w:color="auto"/>
        <w:right w:val="none" w:sz="0" w:space="0" w:color="auto"/>
      </w:divBdr>
    </w:div>
    <w:div w:id="1442383236">
      <w:bodyDiv w:val="1"/>
      <w:marLeft w:val="0"/>
      <w:marRight w:val="0"/>
      <w:marTop w:val="0"/>
      <w:marBottom w:val="0"/>
      <w:divBdr>
        <w:top w:val="none" w:sz="0" w:space="0" w:color="auto"/>
        <w:left w:val="none" w:sz="0" w:space="0" w:color="auto"/>
        <w:bottom w:val="none" w:sz="0" w:space="0" w:color="auto"/>
        <w:right w:val="none" w:sz="0" w:space="0" w:color="auto"/>
      </w:divBdr>
    </w:div>
    <w:div w:id="1442913981">
      <w:bodyDiv w:val="1"/>
      <w:marLeft w:val="0"/>
      <w:marRight w:val="0"/>
      <w:marTop w:val="0"/>
      <w:marBottom w:val="0"/>
      <w:divBdr>
        <w:top w:val="none" w:sz="0" w:space="0" w:color="auto"/>
        <w:left w:val="none" w:sz="0" w:space="0" w:color="auto"/>
        <w:bottom w:val="none" w:sz="0" w:space="0" w:color="auto"/>
        <w:right w:val="none" w:sz="0" w:space="0" w:color="auto"/>
      </w:divBdr>
    </w:div>
    <w:div w:id="1450196161">
      <w:bodyDiv w:val="1"/>
      <w:marLeft w:val="0"/>
      <w:marRight w:val="0"/>
      <w:marTop w:val="0"/>
      <w:marBottom w:val="0"/>
      <w:divBdr>
        <w:top w:val="none" w:sz="0" w:space="0" w:color="auto"/>
        <w:left w:val="none" w:sz="0" w:space="0" w:color="auto"/>
        <w:bottom w:val="none" w:sz="0" w:space="0" w:color="auto"/>
        <w:right w:val="none" w:sz="0" w:space="0" w:color="auto"/>
      </w:divBdr>
    </w:div>
    <w:div w:id="1453743258">
      <w:bodyDiv w:val="1"/>
      <w:marLeft w:val="0"/>
      <w:marRight w:val="0"/>
      <w:marTop w:val="0"/>
      <w:marBottom w:val="0"/>
      <w:divBdr>
        <w:top w:val="none" w:sz="0" w:space="0" w:color="auto"/>
        <w:left w:val="none" w:sz="0" w:space="0" w:color="auto"/>
        <w:bottom w:val="none" w:sz="0" w:space="0" w:color="auto"/>
        <w:right w:val="none" w:sz="0" w:space="0" w:color="auto"/>
      </w:divBdr>
    </w:div>
    <w:div w:id="1453937094">
      <w:bodyDiv w:val="1"/>
      <w:marLeft w:val="0"/>
      <w:marRight w:val="0"/>
      <w:marTop w:val="0"/>
      <w:marBottom w:val="0"/>
      <w:divBdr>
        <w:top w:val="none" w:sz="0" w:space="0" w:color="auto"/>
        <w:left w:val="none" w:sz="0" w:space="0" w:color="auto"/>
        <w:bottom w:val="none" w:sz="0" w:space="0" w:color="auto"/>
        <w:right w:val="none" w:sz="0" w:space="0" w:color="auto"/>
      </w:divBdr>
    </w:div>
    <w:div w:id="1456218879">
      <w:bodyDiv w:val="1"/>
      <w:marLeft w:val="0"/>
      <w:marRight w:val="0"/>
      <w:marTop w:val="0"/>
      <w:marBottom w:val="0"/>
      <w:divBdr>
        <w:top w:val="none" w:sz="0" w:space="0" w:color="auto"/>
        <w:left w:val="none" w:sz="0" w:space="0" w:color="auto"/>
        <w:bottom w:val="none" w:sz="0" w:space="0" w:color="auto"/>
        <w:right w:val="none" w:sz="0" w:space="0" w:color="auto"/>
      </w:divBdr>
    </w:div>
    <w:div w:id="1460299344">
      <w:bodyDiv w:val="1"/>
      <w:marLeft w:val="0"/>
      <w:marRight w:val="0"/>
      <w:marTop w:val="0"/>
      <w:marBottom w:val="0"/>
      <w:divBdr>
        <w:top w:val="none" w:sz="0" w:space="0" w:color="auto"/>
        <w:left w:val="none" w:sz="0" w:space="0" w:color="auto"/>
        <w:bottom w:val="none" w:sz="0" w:space="0" w:color="auto"/>
        <w:right w:val="none" w:sz="0" w:space="0" w:color="auto"/>
      </w:divBdr>
    </w:div>
    <w:div w:id="1462923978">
      <w:bodyDiv w:val="1"/>
      <w:marLeft w:val="0"/>
      <w:marRight w:val="0"/>
      <w:marTop w:val="0"/>
      <w:marBottom w:val="0"/>
      <w:divBdr>
        <w:top w:val="none" w:sz="0" w:space="0" w:color="auto"/>
        <w:left w:val="none" w:sz="0" w:space="0" w:color="auto"/>
        <w:bottom w:val="none" w:sz="0" w:space="0" w:color="auto"/>
        <w:right w:val="none" w:sz="0" w:space="0" w:color="auto"/>
      </w:divBdr>
    </w:div>
    <w:div w:id="1471441053">
      <w:bodyDiv w:val="1"/>
      <w:marLeft w:val="0"/>
      <w:marRight w:val="0"/>
      <w:marTop w:val="0"/>
      <w:marBottom w:val="0"/>
      <w:divBdr>
        <w:top w:val="none" w:sz="0" w:space="0" w:color="auto"/>
        <w:left w:val="none" w:sz="0" w:space="0" w:color="auto"/>
        <w:bottom w:val="none" w:sz="0" w:space="0" w:color="auto"/>
        <w:right w:val="none" w:sz="0" w:space="0" w:color="auto"/>
      </w:divBdr>
    </w:div>
    <w:div w:id="1484200689">
      <w:bodyDiv w:val="1"/>
      <w:marLeft w:val="0"/>
      <w:marRight w:val="0"/>
      <w:marTop w:val="0"/>
      <w:marBottom w:val="0"/>
      <w:divBdr>
        <w:top w:val="none" w:sz="0" w:space="0" w:color="auto"/>
        <w:left w:val="none" w:sz="0" w:space="0" w:color="auto"/>
        <w:bottom w:val="none" w:sz="0" w:space="0" w:color="auto"/>
        <w:right w:val="none" w:sz="0" w:space="0" w:color="auto"/>
      </w:divBdr>
    </w:div>
    <w:div w:id="1490632995">
      <w:bodyDiv w:val="1"/>
      <w:marLeft w:val="0"/>
      <w:marRight w:val="0"/>
      <w:marTop w:val="0"/>
      <w:marBottom w:val="0"/>
      <w:divBdr>
        <w:top w:val="none" w:sz="0" w:space="0" w:color="auto"/>
        <w:left w:val="none" w:sz="0" w:space="0" w:color="auto"/>
        <w:bottom w:val="none" w:sz="0" w:space="0" w:color="auto"/>
        <w:right w:val="none" w:sz="0" w:space="0" w:color="auto"/>
      </w:divBdr>
    </w:div>
    <w:div w:id="1498888712">
      <w:bodyDiv w:val="1"/>
      <w:marLeft w:val="0"/>
      <w:marRight w:val="0"/>
      <w:marTop w:val="0"/>
      <w:marBottom w:val="0"/>
      <w:divBdr>
        <w:top w:val="none" w:sz="0" w:space="0" w:color="auto"/>
        <w:left w:val="none" w:sz="0" w:space="0" w:color="auto"/>
        <w:bottom w:val="none" w:sz="0" w:space="0" w:color="auto"/>
        <w:right w:val="none" w:sz="0" w:space="0" w:color="auto"/>
      </w:divBdr>
    </w:div>
    <w:div w:id="1501432004">
      <w:bodyDiv w:val="1"/>
      <w:marLeft w:val="0"/>
      <w:marRight w:val="0"/>
      <w:marTop w:val="0"/>
      <w:marBottom w:val="0"/>
      <w:divBdr>
        <w:top w:val="none" w:sz="0" w:space="0" w:color="auto"/>
        <w:left w:val="none" w:sz="0" w:space="0" w:color="auto"/>
        <w:bottom w:val="none" w:sz="0" w:space="0" w:color="auto"/>
        <w:right w:val="none" w:sz="0" w:space="0" w:color="auto"/>
      </w:divBdr>
    </w:div>
    <w:div w:id="1506747104">
      <w:bodyDiv w:val="1"/>
      <w:marLeft w:val="0"/>
      <w:marRight w:val="0"/>
      <w:marTop w:val="0"/>
      <w:marBottom w:val="0"/>
      <w:divBdr>
        <w:top w:val="none" w:sz="0" w:space="0" w:color="auto"/>
        <w:left w:val="none" w:sz="0" w:space="0" w:color="auto"/>
        <w:bottom w:val="none" w:sz="0" w:space="0" w:color="auto"/>
        <w:right w:val="none" w:sz="0" w:space="0" w:color="auto"/>
      </w:divBdr>
    </w:div>
    <w:div w:id="1515263613">
      <w:bodyDiv w:val="1"/>
      <w:marLeft w:val="0"/>
      <w:marRight w:val="0"/>
      <w:marTop w:val="0"/>
      <w:marBottom w:val="0"/>
      <w:divBdr>
        <w:top w:val="none" w:sz="0" w:space="0" w:color="auto"/>
        <w:left w:val="none" w:sz="0" w:space="0" w:color="auto"/>
        <w:bottom w:val="none" w:sz="0" w:space="0" w:color="auto"/>
        <w:right w:val="none" w:sz="0" w:space="0" w:color="auto"/>
      </w:divBdr>
    </w:div>
    <w:div w:id="1531645552">
      <w:bodyDiv w:val="1"/>
      <w:marLeft w:val="0"/>
      <w:marRight w:val="0"/>
      <w:marTop w:val="0"/>
      <w:marBottom w:val="0"/>
      <w:divBdr>
        <w:top w:val="none" w:sz="0" w:space="0" w:color="auto"/>
        <w:left w:val="none" w:sz="0" w:space="0" w:color="auto"/>
        <w:bottom w:val="none" w:sz="0" w:space="0" w:color="auto"/>
        <w:right w:val="none" w:sz="0" w:space="0" w:color="auto"/>
      </w:divBdr>
    </w:div>
    <w:div w:id="1555895865">
      <w:bodyDiv w:val="1"/>
      <w:marLeft w:val="0"/>
      <w:marRight w:val="0"/>
      <w:marTop w:val="0"/>
      <w:marBottom w:val="0"/>
      <w:divBdr>
        <w:top w:val="none" w:sz="0" w:space="0" w:color="auto"/>
        <w:left w:val="none" w:sz="0" w:space="0" w:color="auto"/>
        <w:bottom w:val="none" w:sz="0" w:space="0" w:color="auto"/>
        <w:right w:val="none" w:sz="0" w:space="0" w:color="auto"/>
      </w:divBdr>
    </w:div>
    <w:div w:id="1572547489">
      <w:bodyDiv w:val="1"/>
      <w:marLeft w:val="0"/>
      <w:marRight w:val="0"/>
      <w:marTop w:val="0"/>
      <w:marBottom w:val="0"/>
      <w:divBdr>
        <w:top w:val="none" w:sz="0" w:space="0" w:color="auto"/>
        <w:left w:val="none" w:sz="0" w:space="0" w:color="auto"/>
        <w:bottom w:val="none" w:sz="0" w:space="0" w:color="auto"/>
        <w:right w:val="none" w:sz="0" w:space="0" w:color="auto"/>
      </w:divBdr>
    </w:div>
    <w:div w:id="1624575855">
      <w:bodyDiv w:val="1"/>
      <w:marLeft w:val="0"/>
      <w:marRight w:val="0"/>
      <w:marTop w:val="0"/>
      <w:marBottom w:val="0"/>
      <w:divBdr>
        <w:top w:val="none" w:sz="0" w:space="0" w:color="auto"/>
        <w:left w:val="none" w:sz="0" w:space="0" w:color="auto"/>
        <w:bottom w:val="none" w:sz="0" w:space="0" w:color="auto"/>
        <w:right w:val="none" w:sz="0" w:space="0" w:color="auto"/>
      </w:divBdr>
    </w:div>
    <w:div w:id="1632326340">
      <w:bodyDiv w:val="1"/>
      <w:marLeft w:val="0"/>
      <w:marRight w:val="0"/>
      <w:marTop w:val="0"/>
      <w:marBottom w:val="0"/>
      <w:divBdr>
        <w:top w:val="none" w:sz="0" w:space="0" w:color="auto"/>
        <w:left w:val="none" w:sz="0" w:space="0" w:color="auto"/>
        <w:bottom w:val="none" w:sz="0" w:space="0" w:color="auto"/>
        <w:right w:val="none" w:sz="0" w:space="0" w:color="auto"/>
      </w:divBdr>
    </w:div>
    <w:div w:id="1639148479">
      <w:bodyDiv w:val="1"/>
      <w:marLeft w:val="0"/>
      <w:marRight w:val="0"/>
      <w:marTop w:val="0"/>
      <w:marBottom w:val="0"/>
      <w:divBdr>
        <w:top w:val="none" w:sz="0" w:space="0" w:color="auto"/>
        <w:left w:val="none" w:sz="0" w:space="0" w:color="auto"/>
        <w:bottom w:val="none" w:sz="0" w:space="0" w:color="auto"/>
        <w:right w:val="none" w:sz="0" w:space="0" w:color="auto"/>
      </w:divBdr>
    </w:div>
    <w:div w:id="1676227692">
      <w:bodyDiv w:val="1"/>
      <w:marLeft w:val="0"/>
      <w:marRight w:val="0"/>
      <w:marTop w:val="0"/>
      <w:marBottom w:val="0"/>
      <w:divBdr>
        <w:top w:val="none" w:sz="0" w:space="0" w:color="auto"/>
        <w:left w:val="none" w:sz="0" w:space="0" w:color="auto"/>
        <w:bottom w:val="none" w:sz="0" w:space="0" w:color="auto"/>
        <w:right w:val="none" w:sz="0" w:space="0" w:color="auto"/>
      </w:divBdr>
    </w:div>
    <w:div w:id="1704289410">
      <w:bodyDiv w:val="1"/>
      <w:marLeft w:val="0"/>
      <w:marRight w:val="0"/>
      <w:marTop w:val="0"/>
      <w:marBottom w:val="0"/>
      <w:divBdr>
        <w:top w:val="none" w:sz="0" w:space="0" w:color="auto"/>
        <w:left w:val="none" w:sz="0" w:space="0" w:color="auto"/>
        <w:bottom w:val="none" w:sz="0" w:space="0" w:color="auto"/>
        <w:right w:val="none" w:sz="0" w:space="0" w:color="auto"/>
      </w:divBdr>
    </w:div>
    <w:div w:id="1715305698">
      <w:bodyDiv w:val="1"/>
      <w:marLeft w:val="0"/>
      <w:marRight w:val="0"/>
      <w:marTop w:val="0"/>
      <w:marBottom w:val="0"/>
      <w:divBdr>
        <w:top w:val="none" w:sz="0" w:space="0" w:color="auto"/>
        <w:left w:val="none" w:sz="0" w:space="0" w:color="auto"/>
        <w:bottom w:val="none" w:sz="0" w:space="0" w:color="auto"/>
        <w:right w:val="none" w:sz="0" w:space="0" w:color="auto"/>
      </w:divBdr>
    </w:div>
    <w:div w:id="1735276584">
      <w:bodyDiv w:val="1"/>
      <w:marLeft w:val="0"/>
      <w:marRight w:val="0"/>
      <w:marTop w:val="0"/>
      <w:marBottom w:val="0"/>
      <w:divBdr>
        <w:top w:val="none" w:sz="0" w:space="0" w:color="auto"/>
        <w:left w:val="none" w:sz="0" w:space="0" w:color="auto"/>
        <w:bottom w:val="none" w:sz="0" w:space="0" w:color="auto"/>
        <w:right w:val="none" w:sz="0" w:space="0" w:color="auto"/>
      </w:divBdr>
    </w:div>
    <w:div w:id="1747343559">
      <w:bodyDiv w:val="1"/>
      <w:marLeft w:val="0"/>
      <w:marRight w:val="0"/>
      <w:marTop w:val="0"/>
      <w:marBottom w:val="0"/>
      <w:divBdr>
        <w:top w:val="none" w:sz="0" w:space="0" w:color="auto"/>
        <w:left w:val="none" w:sz="0" w:space="0" w:color="auto"/>
        <w:bottom w:val="none" w:sz="0" w:space="0" w:color="auto"/>
        <w:right w:val="none" w:sz="0" w:space="0" w:color="auto"/>
      </w:divBdr>
    </w:div>
    <w:div w:id="1753969393">
      <w:bodyDiv w:val="1"/>
      <w:marLeft w:val="0"/>
      <w:marRight w:val="0"/>
      <w:marTop w:val="0"/>
      <w:marBottom w:val="0"/>
      <w:divBdr>
        <w:top w:val="none" w:sz="0" w:space="0" w:color="auto"/>
        <w:left w:val="none" w:sz="0" w:space="0" w:color="auto"/>
        <w:bottom w:val="none" w:sz="0" w:space="0" w:color="auto"/>
        <w:right w:val="none" w:sz="0" w:space="0" w:color="auto"/>
      </w:divBdr>
    </w:div>
    <w:div w:id="1760829256">
      <w:bodyDiv w:val="1"/>
      <w:marLeft w:val="0"/>
      <w:marRight w:val="0"/>
      <w:marTop w:val="0"/>
      <w:marBottom w:val="0"/>
      <w:divBdr>
        <w:top w:val="none" w:sz="0" w:space="0" w:color="auto"/>
        <w:left w:val="none" w:sz="0" w:space="0" w:color="auto"/>
        <w:bottom w:val="none" w:sz="0" w:space="0" w:color="auto"/>
        <w:right w:val="none" w:sz="0" w:space="0" w:color="auto"/>
      </w:divBdr>
    </w:div>
    <w:div w:id="1764376525">
      <w:bodyDiv w:val="1"/>
      <w:marLeft w:val="0"/>
      <w:marRight w:val="0"/>
      <w:marTop w:val="0"/>
      <w:marBottom w:val="0"/>
      <w:divBdr>
        <w:top w:val="none" w:sz="0" w:space="0" w:color="auto"/>
        <w:left w:val="none" w:sz="0" w:space="0" w:color="auto"/>
        <w:bottom w:val="none" w:sz="0" w:space="0" w:color="auto"/>
        <w:right w:val="none" w:sz="0" w:space="0" w:color="auto"/>
      </w:divBdr>
    </w:div>
    <w:div w:id="1777947449">
      <w:bodyDiv w:val="1"/>
      <w:marLeft w:val="0"/>
      <w:marRight w:val="0"/>
      <w:marTop w:val="0"/>
      <w:marBottom w:val="0"/>
      <w:divBdr>
        <w:top w:val="none" w:sz="0" w:space="0" w:color="auto"/>
        <w:left w:val="none" w:sz="0" w:space="0" w:color="auto"/>
        <w:bottom w:val="none" w:sz="0" w:space="0" w:color="auto"/>
        <w:right w:val="none" w:sz="0" w:space="0" w:color="auto"/>
      </w:divBdr>
    </w:div>
    <w:div w:id="1781796164">
      <w:bodyDiv w:val="1"/>
      <w:marLeft w:val="0"/>
      <w:marRight w:val="0"/>
      <w:marTop w:val="0"/>
      <w:marBottom w:val="0"/>
      <w:divBdr>
        <w:top w:val="none" w:sz="0" w:space="0" w:color="auto"/>
        <w:left w:val="none" w:sz="0" w:space="0" w:color="auto"/>
        <w:bottom w:val="none" w:sz="0" w:space="0" w:color="auto"/>
        <w:right w:val="none" w:sz="0" w:space="0" w:color="auto"/>
      </w:divBdr>
    </w:div>
    <w:div w:id="1789005757">
      <w:bodyDiv w:val="1"/>
      <w:marLeft w:val="0"/>
      <w:marRight w:val="0"/>
      <w:marTop w:val="0"/>
      <w:marBottom w:val="0"/>
      <w:divBdr>
        <w:top w:val="none" w:sz="0" w:space="0" w:color="auto"/>
        <w:left w:val="none" w:sz="0" w:space="0" w:color="auto"/>
        <w:bottom w:val="none" w:sz="0" w:space="0" w:color="auto"/>
        <w:right w:val="none" w:sz="0" w:space="0" w:color="auto"/>
      </w:divBdr>
    </w:div>
    <w:div w:id="1794903544">
      <w:bodyDiv w:val="1"/>
      <w:marLeft w:val="0"/>
      <w:marRight w:val="0"/>
      <w:marTop w:val="0"/>
      <w:marBottom w:val="0"/>
      <w:divBdr>
        <w:top w:val="none" w:sz="0" w:space="0" w:color="auto"/>
        <w:left w:val="none" w:sz="0" w:space="0" w:color="auto"/>
        <w:bottom w:val="none" w:sz="0" w:space="0" w:color="auto"/>
        <w:right w:val="none" w:sz="0" w:space="0" w:color="auto"/>
      </w:divBdr>
    </w:div>
    <w:div w:id="1799834479">
      <w:bodyDiv w:val="1"/>
      <w:marLeft w:val="0"/>
      <w:marRight w:val="0"/>
      <w:marTop w:val="0"/>
      <w:marBottom w:val="0"/>
      <w:divBdr>
        <w:top w:val="none" w:sz="0" w:space="0" w:color="auto"/>
        <w:left w:val="none" w:sz="0" w:space="0" w:color="auto"/>
        <w:bottom w:val="none" w:sz="0" w:space="0" w:color="auto"/>
        <w:right w:val="none" w:sz="0" w:space="0" w:color="auto"/>
      </w:divBdr>
    </w:div>
    <w:div w:id="1807965840">
      <w:bodyDiv w:val="1"/>
      <w:marLeft w:val="0"/>
      <w:marRight w:val="0"/>
      <w:marTop w:val="0"/>
      <w:marBottom w:val="0"/>
      <w:divBdr>
        <w:top w:val="none" w:sz="0" w:space="0" w:color="auto"/>
        <w:left w:val="none" w:sz="0" w:space="0" w:color="auto"/>
        <w:bottom w:val="none" w:sz="0" w:space="0" w:color="auto"/>
        <w:right w:val="none" w:sz="0" w:space="0" w:color="auto"/>
      </w:divBdr>
    </w:div>
    <w:div w:id="1816142238">
      <w:bodyDiv w:val="1"/>
      <w:marLeft w:val="0"/>
      <w:marRight w:val="0"/>
      <w:marTop w:val="0"/>
      <w:marBottom w:val="0"/>
      <w:divBdr>
        <w:top w:val="none" w:sz="0" w:space="0" w:color="auto"/>
        <w:left w:val="none" w:sz="0" w:space="0" w:color="auto"/>
        <w:bottom w:val="none" w:sz="0" w:space="0" w:color="auto"/>
        <w:right w:val="none" w:sz="0" w:space="0" w:color="auto"/>
      </w:divBdr>
    </w:div>
    <w:div w:id="1823230526">
      <w:bodyDiv w:val="1"/>
      <w:marLeft w:val="0"/>
      <w:marRight w:val="0"/>
      <w:marTop w:val="0"/>
      <w:marBottom w:val="0"/>
      <w:divBdr>
        <w:top w:val="none" w:sz="0" w:space="0" w:color="auto"/>
        <w:left w:val="none" w:sz="0" w:space="0" w:color="auto"/>
        <w:bottom w:val="none" w:sz="0" w:space="0" w:color="auto"/>
        <w:right w:val="none" w:sz="0" w:space="0" w:color="auto"/>
      </w:divBdr>
    </w:div>
    <w:div w:id="1837458419">
      <w:bodyDiv w:val="1"/>
      <w:marLeft w:val="0"/>
      <w:marRight w:val="0"/>
      <w:marTop w:val="0"/>
      <w:marBottom w:val="0"/>
      <w:divBdr>
        <w:top w:val="none" w:sz="0" w:space="0" w:color="auto"/>
        <w:left w:val="none" w:sz="0" w:space="0" w:color="auto"/>
        <w:bottom w:val="none" w:sz="0" w:space="0" w:color="auto"/>
        <w:right w:val="none" w:sz="0" w:space="0" w:color="auto"/>
      </w:divBdr>
    </w:div>
    <w:div w:id="1849831038">
      <w:bodyDiv w:val="1"/>
      <w:marLeft w:val="0"/>
      <w:marRight w:val="0"/>
      <w:marTop w:val="0"/>
      <w:marBottom w:val="0"/>
      <w:divBdr>
        <w:top w:val="none" w:sz="0" w:space="0" w:color="auto"/>
        <w:left w:val="none" w:sz="0" w:space="0" w:color="auto"/>
        <w:bottom w:val="none" w:sz="0" w:space="0" w:color="auto"/>
        <w:right w:val="none" w:sz="0" w:space="0" w:color="auto"/>
      </w:divBdr>
    </w:div>
    <w:div w:id="1857303958">
      <w:bodyDiv w:val="1"/>
      <w:marLeft w:val="0"/>
      <w:marRight w:val="0"/>
      <w:marTop w:val="0"/>
      <w:marBottom w:val="0"/>
      <w:divBdr>
        <w:top w:val="none" w:sz="0" w:space="0" w:color="auto"/>
        <w:left w:val="none" w:sz="0" w:space="0" w:color="auto"/>
        <w:bottom w:val="none" w:sz="0" w:space="0" w:color="auto"/>
        <w:right w:val="none" w:sz="0" w:space="0" w:color="auto"/>
      </w:divBdr>
    </w:div>
    <w:div w:id="1870338090">
      <w:bodyDiv w:val="1"/>
      <w:marLeft w:val="0"/>
      <w:marRight w:val="0"/>
      <w:marTop w:val="0"/>
      <w:marBottom w:val="0"/>
      <w:divBdr>
        <w:top w:val="none" w:sz="0" w:space="0" w:color="auto"/>
        <w:left w:val="none" w:sz="0" w:space="0" w:color="auto"/>
        <w:bottom w:val="none" w:sz="0" w:space="0" w:color="auto"/>
        <w:right w:val="none" w:sz="0" w:space="0" w:color="auto"/>
      </w:divBdr>
    </w:div>
    <w:div w:id="1875657031">
      <w:bodyDiv w:val="1"/>
      <w:marLeft w:val="0"/>
      <w:marRight w:val="0"/>
      <w:marTop w:val="0"/>
      <w:marBottom w:val="0"/>
      <w:divBdr>
        <w:top w:val="none" w:sz="0" w:space="0" w:color="auto"/>
        <w:left w:val="none" w:sz="0" w:space="0" w:color="auto"/>
        <w:bottom w:val="none" w:sz="0" w:space="0" w:color="auto"/>
        <w:right w:val="none" w:sz="0" w:space="0" w:color="auto"/>
      </w:divBdr>
    </w:div>
    <w:div w:id="1881942534">
      <w:bodyDiv w:val="1"/>
      <w:marLeft w:val="0"/>
      <w:marRight w:val="0"/>
      <w:marTop w:val="0"/>
      <w:marBottom w:val="0"/>
      <w:divBdr>
        <w:top w:val="none" w:sz="0" w:space="0" w:color="auto"/>
        <w:left w:val="none" w:sz="0" w:space="0" w:color="auto"/>
        <w:bottom w:val="none" w:sz="0" w:space="0" w:color="auto"/>
        <w:right w:val="none" w:sz="0" w:space="0" w:color="auto"/>
      </w:divBdr>
    </w:div>
    <w:div w:id="1890917119">
      <w:bodyDiv w:val="1"/>
      <w:marLeft w:val="0"/>
      <w:marRight w:val="0"/>
      <w:marTop w:val="0"/>
      <w:marBottom w:val="0"/>
      <w:divBdr>
        <w:top w:val="none" w:sz="0" w:space="0" w:color="auto"/>
        <w:left w:val="none" w:sz="0" w:space="0" w:color="auto"/>
        <w:bottom w:val="none" w:sz="0" w:space="0" w:color="auto"/>
        <w:right w:val="none" w:sz="0" w:space="0" w:color="auto"/>
      </w:divBdr>
    </w:div>
    <w:div w:id="1915511668">
      <w:bodyDiv w:val="1"/>
      <w:marLeft w:val="0"/>
      <w:marRight w:val="0"/>
      <w:marTop w:val="0"/>
      <w:marBottom w:val="0"/>
      <w:divBdr>
        <w:top w:val="none" w:sz="0" w:space="0" w:color="auto"/>
        <w:left w:val="none" w:sz="0" w:space="0" w:color="auto"/>
        <w:bottom w:val="none" w:sz="0" w:space="0" w:color="auto"/>
        <w:right w:val="none" w:sz="0" w:space="0" w:color="auto"/>
      </w:divBdr>
    </w:div>
    <w:div w:id="1923758079">
      <w:bodyDiv w:val="1"/>
      <w:marLeft w:val="0"/>
      <w:marRight w:val="0"/>
      <w:marTop w:val="0"/>
      <w:marBottom w:val="0"/>
      <w:divBdr>
        <w:top w:val="none" w:sz="0" w:space="0" w:color="auto"/>
        <w:left w:val="none" w:sz="0" w:space="0" w:color="auto"/>
        <w:bottom w:val="none" w:sz="0" w:space="0" w:color="auto"/>
        <w:right w:val="none" w:sz="0" w:space="0" w:color="auto"/>
      </w:divBdr>
    </w:div>
    <w:div w:id="1932002884">
      <w:bodyDiv w:val="1"/>
      <w:marLeft w:val="0"/>
      <w:marRight w:val="0"/>
      <w:marTop w:val="0"/>
      <w:marBottom w:val="0"/>
      <w:divBdr>
        <w:top w:val="none" w:sz="0" w:space="0" w:color="auto"/>
        <w:left w:val="none" w:sz="0" w:space="0" w:color="auto"/>
        <w:bottom w:val="none" w:sz="0" w:space="0" w:color="auto"/>
        <w:right w:val="none" w:sz="0" w:space="0" w:color="auto"/>
      </w:divBdr>
    </w:div>
    <w:div w:id="1939676066">
      <w:bodyDiv w:val="1"/>
      <w:marLeft w:val="0"/>
      <w:marRight w:val="0"/>
      <w:marTop w:val="0"/>
      <w:marBottom w:val="0"/>
      <w:divBdr>
        <w:top w:val="none" w:sz="0" w:space="0" w:color="auto"/>
        <w:left w:val="none" w:sz="0" w:space="0" w:color="auto"/>
        <w:bottom w:val="none" w:sz="0" w:space="0" w:color="auto"/>
        <w:right w:val="none" w:sz="0" w:space="0" w:color="auto"/>
      </w:divBdr>
    </w:div>
    <w:div w:id="1952205110">
      <w:bodyDiv w:val="1"/>
      <w:marLeft w:val="0"/>
      <w:marRight w:val="0"/>
      <w:marTop w:val="0"/>
      <w:marBottom w:val="0"/>
      <w:divBdr>
        <w:top w:val="none" w:sz="0" w:space="0" w:color="auto"/>
        <w:left w:val="none" w:sz="0" w:space="0" w:color="auto"/>
        <w:bottom w:val="none" w:sz="0" w:space="0" w:color="auto"/>
        <w:right w:val="none" w:sz="0" w:space="0" w:color="auto"/>
      </w:divBdr>
    </w:div>
    <w:div w:id="1956861710">
      <w:bodyDiv w:val="1"/>
      <w:marLeft w:val="0"/>
      <w:marRight w:val="0"/>
      <w:marTop w:val="0"/>
      <w:marBottom w:val="0"/>
      <w:divBdr>
        <w:top w:val="none" w:sz="0" w:space="0" w:color="auto"/>
        <w:left w:val="none" w:sz="0" w:space="0" w:color="auto"/>
        <w:bottom w:val="none" w:sz="0" w:space="0" w:color="auto"/>
        <w:right w:val="none" w:sz="0" w:space="0" w:color="auto"/>
      </w:divBdr>
    </w:div>
    <w:div w:id="1963146699">
      <w:bodyDiv w:val="1"/>
      <w:marLeft w:val="0"/>
      <w:marRight w:val="0"/>
      <w:marTop w:val="0"/>
      <w:marBottom w:val="0"/>
      <w:divBdr>
        <w:top w:val="none" w:sz="0" w:space="0" w:color="auto"/>
        <w:left w:val="none" w:sz="0" w:space="0" w:color="auto"/>
        <w:bottom w:val="none" w:sz="0" w:space="0" w:color="auto"/>
        <w:right w:val="none" w:sz="0" w:space="0" w:color="auto"/>
      </w:divBdr>
    </w:div>
    <w:div w:id="1980261009">
      <w:bodyDiv w:val="1"/>
      <w:marLeft w:val="0"/>
      <w:marRight w:val="0"/>
      <w:marTop w:val="0"/>
      <w:marBottom w:val="0"/>
      <w:divBdr>
        <w:top w:val="none" w:sz="0" w:space="0" w:color="auto"/>
        <w:left w:val="none" w:sz="0" w:space="0" w:color="auto"/>
        <w:bottom w:val="none" w:sz="0" w:space="0" w:color="auto"/>
        <w:right w:val="none" w:sz="0" w:space="0" w:color="auto"/>
      </w:divBdr>
    </w:div>
    <w:div w:id="1992127231">
      <w:bodyDiv w:val="1"/>
      <w:marLeft w:val="0"/>
      <w:marRight w:val="0"/>
      <w:marTop w:val="0"/>
      <w:marBottom w:val="0"/>
      <w:divBdr>
        <w:top w:val="none" w:sz="0" w:space="0" w:color="auto"/>
        <w:left w:val="none" w:sz="0" w:space="0" w:color="auto"/>
        <w:bottom w:val="none" w:sz="0" w:space="0" w:color="auto"/>
        <w:right w:val="none" w:sz="0" w:space="0" w:color="auto"/>
      </w:divBdr>
    </w:div>
    <w:div w:id="1999113906">
      <w:bodyDiv w:val="1"/>
      <w:marLeft w:val="0"/>
      <w:marRight w:val="0"/>
      <w:marTop w:val="0"/>
      <w:marBottom w:val="0"/>
      <w:divBdr>
        <w:top w:val="none" w:sz="0" w:space="0" w:color="auto"/>
        <w:left w:val="none" w:sz="0" w:space="0" w:color="auto"/>
        <w:bottom w:val="none" w:sz="0" w:space="0" w:color="auto"/>
        <w:right w:val="none" w:sz="0" w:space="0" w:color="auto"/>
      </w:divBdr>
    </w:div>
    <w:div w:id="2002193778">
      <w:bodyDiv w:val="1"/>
      <w:marLeft w:val="0"/>
      <w:marRight w:val="0"/>
      <w:marTop w:val="0"/>
      <w:marBottom w:val="0"/>
      <w:divBdr>
        <w:top w:val="none" w:sz="0" w:space="0" w:color="auto"/>
        <w:left w:val="none" w:sz="0" w:space="0" w:color="auto"/>
        <w:bottom w:val="none" w:sz="0" w:space="0" w:color="auto"/>
        <w:right w:val="none" w:sz="0" w:space="0" w:color="auto"/>
      </w:divBdr>
    </w:div>
    <w:div w:id="2023123244">
      <w:bodyDiv w:val="1"/>
      <w:marLeft w:val="0"/>
      <w:marRight w:val="0"/>
      <w:marTop w:val="0"/>
      <w:marBottom w:val="0"/>
      <w:divBdr>
        <w:top w:val="none" w:sz="0" w:space="0" w:color="auto"/>
        <w:left w:val="none" w:sz="0" w:space="0" w:color="auto"/>
        <w:bottom w:val="none" w:sz="0" w:space="0" w:color="auto"/>
        <w:right w:val="none" w:sz="0" w:space="0" w:color="auto"/>
      </w:divBdr>
    </w:div>
    <w:div w:id="2024937522">
      <w:bodyDiv w:val="1"/>
      <w:marLeft w:val="0"/>
      <w:marRight w:val="0"/>
      <w:marTop w:val="0"/>
      <w:marBottom w:val="0"/>
      <w:divBdr>
        <w:top w:val="none" w:sz="0" w:space="0" w:color="auto"/>
        <w:left w:val="none" w:sz="0" w:space="0" w:color="auto"/>
        <w:bottom w:val="none" w:sz="0" w:space="0" w:color="auto"/>
        <w:right w:val="none" w:sz="0" w:space="0" w:color="auto"/>
      </w:divBdr>
    </w:div>
    <w:div w:id="2031297727">
      <w:bodyDiv w:val="1"/>
      <w:marLeft w:val="0"/>
      <w:marRight w:val="0"/>
      <w:marTop w:val="0"/>
      <w:marBottom w:val="0"/>
      <w:divBdr>
        <w:top w:val="none" w:sz="0" w:space="0" w:color="auto"/>
        <w:left w:val="none" w:sz="0" w:space="0" w:color="auto"/>
        <w:bottom w:val="none" w:sz="0" w:space="0" w:color="auto"/>
        <w:right w:val="none" w:sz="0" w:space="0" w:color="auto"/>
      </w:divBdr>
    </w:div>
    <w:div w:id="2032223069">
      <w:bodyDiv w:val="1"/>
      <w:marLeft w:val="0"/>
      <w:marRight w:val="0"/>
      <w:marTop w:val="0"/>
      <w:marBottom w:val="0"/>
      <w:divBdr>
        <w:top w:val="none" w:sz="0" w:space="0" w:color="auto"/>
        <w:left w:val="none" w:sz="0" w:space="0" w:color="auto"/>
        <w:bottom w:val="none" w:sz="0" w:space="0" w:color="auto"/>
        <w:right w:val="none" w:sz="0" w:space="0" w:color="auto"/>
      </w:divBdr>
    </w:div>
    <w:div w:id="2034991011">
      <w:bodyDiv w:val="1"/>
      <w:marLeft w:val="0"/>
      <w:marRight w:val="0"/>
      <w:marTop w:val="0"/>
      <w:marBottom w:val="0"/>
      <w:divBdr>
        <w:top w:val="none" w:sz="0" w:space="0" w:color="auto"/>
        <w:left w:val="none" w:sz="0" w:space="0" w:color="auto"/>
        <w:bottom w:val="none" w:sz="0" w:space="0" w:color="auto"/>
        <w:right w:val="none" w:sz="0" w:space="0" w:color="auto"/>
      </w:divBdr>
    </w:div>
    <w:div w:id="2038045864">
      <w:bodyDiv w:val="1"/>
      <w:marLeft w:val="0"/>
      <w:marRight w:val="0"/>
      <w:marTop w:val="0"/>
      <w:marBottom w:val="0"/>
      <w:divBdr>
        <w:top w:val="none" w:sz="0" w:space="0" w:color="auto"/>
        <w:left w:val="none" w:sz="0" w:space="0" w:color="auto"/>
        <w:bottom w:val="none" w:sz="0" w:space="0" w:color="auto"/>
        <w:right w:val="none" w:sz="0" w:space="0" w:color="auto"/>
      </w:divBdr>
    </w:div>
    <w:div w:id="2056005854">
      <w:bodyDiv w:val="1"/>
      <w:marLeft w:val="0"/>
      <w:marRight w:val="0"/>
      <w:marTop w:val="0"/>
      <w:marBottom w:val="0"/>
      <w:divBdr>
        <w:top w:val="none" w:sz="0" w:space="0" w:color="auto"/>
        <w:left w:val="none" w:sz="0" w:space="0" w:color="auto"/>
        <w:bottom w:val="none" w:sz="0" w:space="0" w:color="auto"/>
        <w:right w:val="none" w:sz="0" w:space="0" w:color="auto"/>
      </w:divBdr>
    </w:div>
    <w:div w:id="2057510260">
      <w:bodyDiv w:val="1"/>
      <w:marLeft w:val="0"/>
      <w:marRight w:val="0"/>
      <w:marTop w:val="0"/>
      <w:marBottom w:val="0"/>
      <w:divBdr>
        <w:top w:val="none" w:sz="0" w:space="0" w:color="auto"/>
        <w:left w:val="none" w:sz="0" w:space="0" w:color="auto"/>
        <w:bottom w:val="none" w:sz="0" w:space="0" w:color="auto"/>
        <w:right w:val="none" w:sz="0" w:space="0" w:color="auto"/>
      </w:divBdr>
    </w:div>
    <w:div w:id="2065837012">
      <w:bodyDiv w:val="1"/>
      <w:marLeft w:val="0"/>
      <w:marRight w:val="0"/>
      <w:marTop w:val="0"/>
      <w:marBottom w:val="0"/>
      <w:divBdr>
        <w:top w:val="none" w:sz="0" w:space="0" w:color="auto"/>
        <w:left w:val="none" w:sz="0" w:space="0" w:color="auto"/>
        <w:bottom w:val="none" w:sz="0" w:space="0" w:color="auto"/>
        <w:right w:val="none" w:sz="0" w:space="0" w:color="auto"/>
      </w:divBdr>
    </w:div>
    <w:div w:id="2076973111">
      <w:bodyDiv w:val="1"/>
      <w:marLeft w:val="0"/>
      <w:marRight w:val="0"/>
      <w:marTop w:val="0"/>
      <w:marBottom w:val="0"/>
      <w:divBdr>
        <w:top w:val="none" w:sz="0" w:space="0" w:color="auto"/>
        <w:left w:val="none" w:sz="0" w:space="0" w:color="auto"/>
        <w:bottom w:val="none" w:sz="0" w:space="0" w:color="auto"/>
        <w:right w:val="none" w:sz="0" w:space="0" w:color="auto"/>
      </w:divBdr>
    </w:div>
    <w:div w:id="2078047331">
      <w:bodyDiv w:val="1"/>
      <w:marLeft w:val="0"/>
      <w:marRight w:val="0"/>
      <w:marTop w:val="0"/>
      <w:marBottom w:val="0"/>
      <w:divBdr>
        <w:top w:val="none" w:sz="0" w:space="0" w:color="auto"/>
        <w:left w:val="none" w:sz="0" w:space="0" w:color="auto"/>
        <w:bottom w:val="none" w:sz="0" w:space="0" w:color="auto"/>
        <w:right w:val="none" w:sz="0" w:space="0" w:color="auto"/>
      </w:divBdr>
    </w:div>
    <w:div w:id="2128233907">
      <w:bodyDiv w:val="1"/>
      <w:marLeft w:val="0"/>
      <w:marRight w:val="0"/>
      <w:marTop w:val="0"/>
      <w:marBottom w:val="0"/>
      <w:divBdr>
        <w:top w:val="none" w:sz="0" w:space="0" w:color="auto"/>
        <w:left w:val="none" w:sz="0" w:space="0" w:color="auto"/>
        <w:bottom w:val="none" w:sz="0" w:space="0" w:color="auto"/>
        <w:right w:val="none" w:sz="0" w:space="0" w:color="auto"/>
      </w:divBdr>
    </w:div>
    <w:div w:id="2138909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ua/storage/files/Strategija_financovogo_sectoru_ua.pdf" TargetMode="External"/><Relationship Id="rId3" Type="http://schemas.openxmlformats.org/officeDocument/2006/relationships/settings" Target="settings.xml"/><Relationship Id="rId7" Type="http://schemas.openxmlformats.org/officeDocument/2006/relationships/hyperlink" Target="https://www.worldbank.org/en/topic/financialinclusion/overvie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vu.org.ua/wp-content/uploads/2021/09/Terminology_2.pdf"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Аркуш1!$D$5</c:f>
              <c:strCache>
                <c:ptCount val="1"/>
                <c:pt idx="0">
                  <c:v>2021</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cat>
            <c:strRef>
              <c:f>Аркуш1!$C$6:$C$11</c:f>
              <c:strCache>
                <c:ptCount val="6"/>
                <c:pt idx="0">
                  <c:v>Share of the population with bank accounts, %.</c:v>
                </c:pt>
                <c:pt idx="1">
                  <c:v>Share of non-performing loans (NPL) in the portfolio, %.</c:v>
                </c:pt>
                <c:pt idx="2">
                  <c:v>Сapital  adequacy of banks, %.</c:v>
                </c:pt>
                <c:pt idx="3">
                  <c:v>Number of bank branches per 100 thousand people</c:v>
                </c:pt>
                <c:pt idx="4">
                  <c:v>Level of financial literacy (index, 0-100)</c:v>
                </c:pt>
                <c:pt idx="5">
                  <c:v>Share of payments made via internet banking, %</c:v>
                </c:pt>
              </c:strCache>
            </c:strRef>
          </c:cat>
          <c:val>
            <c:numRef>
              <c:f>Аркуш1!$D$6:$D$11</c:f>
              <c:numCache>
                <c:formatCode>General</c:formatCode>
                <c:ptCount val="6"/>
                <c:pt idx="0">
                  <c:v>63</c:v>
                </c:pt>
                <c:pt idx="1">
                  <c:v>48</c:v>
                </c:pt>
                <c:pt idx="2">
                  <c:v>18</c:v>
                </c:pt>
                <c:pt idx="3">
                  <c:v>34</c:v>
                </c:pt>
                <c:pt idx="4">
                  <c:v>44</c:v>
                </c:pt>
                <c:pt idx="5">
                  <c:v>27</c:v>
                </c:pt>
              </c:numCache>
            </c:numRef>
          </c:val>
          <c:extLst>
            <c:ext xmlns:c16="http://schemas.microsoft.com/office/drawing/2014/chart" uri="{C3380CC4-5D6E-409C-BE32-E72D297353CC}">
              <c16:uniqueId val="{00000000-BD93-4ECB-96B1-370E35D10184}"/>
            </c:ext>
          </c:extLst>
        </c:ser>
        <c:ser>
          <c:idx val="1"/>
          <c:order val="1"/>
          <c:tx>
            <c:strRef>
              <c:f>Аркуш1!$E$5</c:f>
              <c:strCache>
                <c:ptCount val="1"/>
                <c:pt idx="0">
                  <c:v>2022</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cat>
            <c:strRef>
              <c:f>Аркуш1!$C$6:$C$11</c:f>
              <c:strCache>
                <c:ptCount val="6"/>
                <c:pt idx="0">
                  <c:v>Share of the population with bank accounts, %.</c:v>
                </c:pt>
                <c:pt idx="1">
                  <c:v>Share of non-performing loans (NPL) in the portfolio, %.</c:v>
                </c:pt>
                <c:pt idx="2">
                  <c:v>Сapital  adequacy of banks, %.</c:v>
                </c:pt>
                <c:pt idx="3">
                  <c:v>Number of bank branches per 100 thousand people</c:v>
                </c:pt>
                <c:pt idx="4">
                  <c:v>Level of financial literacy (index, 0-100)</c:v>
                </c:pt>
                <c:pt idx="5">
                  <c:v>Share of payments made via internet banking, %</c:v>
                </c:pt>
              </c:strCache>
            </c:strRef>
          </c:cat>
          <c:val>
            <c:numRef>
              <c:f>Аркуш1!$E$6:$E$11</c:f>
              <c:numCache>
                <c:formatCode>General</c:formatCode>
                <c:ptCount val="6"/>
                <c:pt idx="0">
                  <c:v>67</c:v>
                </c:pt>
                <c:pt idx="1">
                  <c:v>41</c:v>
                </c:pt>
                <c:pt idx="2">
                  <c:v>21</c:v>
                </c:pt>
                <c:pt idx="3">
                  <c:v>30</c:v>
                </c:pt>
                <c:pt idx="4">
                  <c:v>47</c:v>
                </c:pt>
                <c:pt idx="5">
                  <c:v>35</c:v>
                </c:pt>
              </c:numCache>
            </c:numRef>
          </c:val>
          <c:extLst>
            <c:ext xmlns:c16="http://schemas.microsoft.com/office/drawing/2014/chart" uri="{C3380CC4-5D6E-409C-BE32-E72D297353CC}">
              <c16:uniqueId val="{00000001-BD93-4ECB-96B1-370E35D10184}"/>
            </c:ext>
          </c:extLst>
        </c:ser>
        <c:ser>
          <c:idx val="2"/>
          <c:order val="2"/>
          <c:tx>
            <c:strRef>
              <c:f>Аркуш1!$F$5</c:f>
              <c:strCache>
                <c:ptCount val="1"/>
                <c:pt idx="0">
                  <c:v>2023</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cat>
            <c:strRef>
              <c:f>Аркуш1!$C$6:$C$11</c:f>
              <c:strCache>
                <c:ptCount val="6"/>
                <c:pt idx="0">
                  <c:v>Share of the population with bank accounts, %.</c:v>
                </c:pt>
                <c:pt idx="1">
                  <c:v>Share of non-performing loans (NPL) in the portfolio, %.</c:v>
                </c:pt>
                <c:pt idx="2">
                  <c:v>Сapital  adequacy of banks, %.</c:v>
                </c:pt>
                <c:pt idx="3">
                  <c:v>Number of bank branches per 100 thousand people</c:v>
                </c:pt>
                <c:pt idx="4">
                  <c:v>Level of financial literacy (index, 0-100)</c:v>
                </c:pt>
                <c:pt idx="5">
                  <c:v>Share of payments made via internet banking, %</c:v>
                </c:pt>
              </c:strCache>
            </c:strRef>
          </c:cat>
          <c:val>
            <c:numRef>
              <c:f>Аркуш1!$F$6:$F$11</c:f>
              <c:numCache>
                <c:formatCode>General</c:formatCode>
                <c:ptCount val="6"/>
                <c:pt idx="0">
                  <c:v>72</c:v>
                </c:pt>
                <c:pt idx="1">
                  <c:v>38</c:v>
                </c:pt>
                <c:pt idx="2">
                  <c:v>20</c:v>
                </c:pt>
                <c:pt idx="3">
                  <c:v>25</c:v>
                </c:pt>
                <c:pt idx="4">
                  <c:v>50</c:v>
                </c:pt>
                <c:pt idx="5">
                  <c:v>45</c:v>
                </c:pt>
              </c:numCache>
            </c:numRef>
          </c:val>
          <c:extLst>
            <c:ext xmlns:c16="http://schemas.microsoft.com/office/drawing/2014/chart" uri="{C3380CC4-5D6E-409C-BE32-E72D297353CC}">
              <c16:uniqueId val="{00000002-BD93-4ECB-96B1-370E35D10184}"/>
            </c:ext>
          </c:extLst>
        </c:ser>
        <c:dLbls>
          <c:showLegendKey val="0"/>
          <c:showVal val="0"/>
          <c:showCatName val="0"/>
          <c:showSerName val="0"/>
          <c:showPercent val="0"/>
          <c:showBubbleSize val="0"/>
        </c:dLbls>
        <c:gapWidth val="150"/>
        <c:shape val="box"/>
        <c:axId val="43448335"/>
        <c:axId val="43453743"/>
        <c:axId val="0"/>
      </c:bar3DChart>
      <c:catAx>
        <c:axId val="43448335"/>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3453743"/>
        <c:crosses val="autoZero"/>
        <c:auto val="1"/>
        <c:lblAlgn val="ctr"/>
        <c:lblOffset val="100"/>
        <c:noMultiLvlLbl val="0"/>
      </c:catAx>
      <c:valAx>
        <c:axId val="43453743"/>
        <c:scaling>
          <c:orientation val="minMax"/>
        </c:scaling>
        <c:delete val="0"/>
        <c:axPos val="b"/>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34483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1259</TotalTime>
  <Pages>10</Pages>
  <Words>11907</Words>
  <Characters>6788</Characters>
  <Application>Microsoft Office Word</Application>
  <DocSecurity>0</DocSecurity>
  <Lines>56</Lines>
  <Paragraphs>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Admin</cp:lastModifiedBy>
  <cp:revision>23</cp:revision>
  <dcterms:created xsi:type="dcterms:W3CDTF">2023-02-23T12:43:00Z</dcterms:created>
  <dcterms:modified xsi:type="dcterms:W3CDTF">2024-10-25T17:37:00Z</dcterms:modified>
</cp:coreProperties>
</file>