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CB839A" w14:textId="77777777" w:rsidR="001930A8" w:rsidRPr="001930A8" w:rsidRDefault="001930A8" w:rsidP="001930A8">
      <w:pPr>
        <w:spacing w:after="0" w:line="240" w:lineRule="auto"/>
        <w:rPr>
          <w:rFonts w:ascii="Times New Roman" w:eastAsia="Times New Roman" w:hAnsi="Times New Roman" w:cs="Times New Roman"/>
          <w:color w:val="000000"/>
          <w:sz w:val="27"/>
          <w:szCs w:val="27"/>
        </w:rPr>
      </w:pPr>
      <w:r w:rsidRPr="001930A8">
        <w:rPr>
          <w:rFonts w:ascii="Times New Roman" w:eastAsia="Times New Roman" w:hAnsi="Times New Roman" w:cs="Times New Roman"/>
          <w:b/>
          <w:bCs/>
          <w:color w:val="000000"/>
          <w:sz w:val="27"/>
          <w:szCs w:val="27"/>
        </w:rPr>
        <w:t>Bilynskyi Y.Y. </w:t>
      </w:r>
      <w:r w:rsidRPr="001930A8">
        <w:rPr>
          <w:rFonts w:ascii="Times New Roman" w:eastAsia="Times New Roman" w:hAnsi="Times New Roman" w:cs="Times New Roman"/>
          <w:b/>
          <w:bCs/>
          <w:noProof/>
          <w:color w:val="0000FF"/>
          <w:sz w:val="27"/>
          <w:szCs w:val="27"/>
        </w:rPr>
        <w:drawing>
          <wp:inline distT="0" distB="0" distL="0" distR="0" wp14:anchorId="12D28774" wp14:editId="31A318AD">
            <wp:extent cx="199390" cy="173990"/>
            <wp:effectExtent l="0" t="0" r="0" b="0"/>
            <wp:docPr id="3" name="Рисунок 3">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hlinkClick r:id="rId4"/>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9390" cy="173990"/>
                    </a:xfrm>
                    <a:prstGeom prst="rect">
                      <a:avLst/>
                    </a:prstGeom>
                    <a:noFill/>
                    <a:ln>
                      <a:noFill/>
                    </a:ln>
                  </pic:spPr>
                </pic:pic>
              </a:graphicData>
            </a:graphic>
          </wp:inline>
        </w:drawing>
      </w:r>
      <w:r w:rsidRPr="001930A8">
        <w:rPr>
          <w:rFonts w:ascii="Times New Roman" w:eastAsia="Times New Roman" w:hAnsi="Times New Roman" w:cs="Times New Roman"/>
          <w:color w:val="000000"/>
          <w:sz w:val="27"/>
          <w:szCs w:val="27"/>
        </w:rPr>
        <w:br/>
        <w:t>Vinnytsia National Technical University, Vinnytsia</w:t>
      </w:r>
      <w:r w:rsidRPr="001930A8">
        <w:rPr>
          <w:rFonts w:ascii="Times New Roman" w:eastAsia="Times New Roman" w:hAnsi="Times New Roman" w:cs="Times New Roman"/>
          <w:color w:val="000000"/>
          <w:sz w:val="27"/>
          <w:szCs w:val="27"/>
        </w:rPr>
        <w:br/>
      </w:r>
      <w:r w:rsidRPr="001930A8">
        <w:rPr>
          <w:rFonts w:ascii="Times New Roman" w:eastAsia="Times New Roman" w:hAnsi="Times New Roman" w:cs="Times New Roman"/>
          <w:b/>
          <w:bCs/>
          <w:color w:val="000000"/>
          <w:sz w:val="27"/>
          <w:szCs w:val="27"/>
        </w:rPr>
        <w:t>Stetsenko A.A. </w:t>
      </w:r>
      <w:r w:rsidRPr="001930A8">
        <w:rPr>
          <w:rFonts w:ascii="Times New Roman" w:eastAsia="Times New Roman" w:hAnsi="Times New Roman" w:cs="Times New Roman"/>
          <w:b/>
          <w:bCs/>
          <w:noProof/>
          <w:color w:val="0000FF"/>
          <w:sz w:val="27"/>
          <w:szCs w:val="27"/>
        </w:rPr>
        <w:drawing>
          <wp:inline distT="0" distB="0" distL="0" distR="0" wp14:anchorId="58F66CC7" wp14:editId="00B7F686">
            <wp:extent cx="199390" cy="173990"/>
            <wp:effectExtent l="0" t="0" r="0" b="0"/>
            <wp:docPr id="2" name="Рисунок 2">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a:hlinkClick r:id="rId6"/>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9390" cy="173990"/>
                    </a:xfrm>
                    <a:prstGeom prst="rect">
                      <a:avLst/>
                    </a:prstGeom>
                    <a:noFill/>
                    <a:ln>
                      <a:noFill/>
                    </a:ln>
                  </pic:spPr>
                </pic:pic>
              </a:graphicData>
            </a:graphic>
          </wp:inline>
        </w:drawing>
      </w:r>
      <w:r w:rsidRPr="001930A8">
        <w:rPr>
          <w:rFonts w:ascii="Times New Roman" w:eastAsia="Times New Roman" w:hAnsi="Times New Roman" w:cs="Times New Roman"/>
          <w:color w:val="000000"/>
          <w:sz w:val="27"/>
          <w:szCs w:val="27"/>
        </w:rPr>
        <w:br/>
        <w:t>Vinnytsia National Technical University, Vinnytsia</w:t>
      </w:r>
    </w:p>
    <w:p w14:paraId="3684787F" w14:textId="77777777" w:rsidR="001930A8" w:rsidRPr="001930A8" w:rsidRDefault="001930A8" w:rsidP="001930A8">
      <w:pPr>
        <w:spacing w:after="0" w:line="240" w:lineRule="auto"/>
        <w:rPr>
          <w:rFonts w:ascii="Times New Roman" w:eastAsia="Times New Roman" w:hAnsi="Times New Roman" w:cs="Times New Roman"/>
          <w:color w:val="000000"/>
          <w:sz w:val="27"/>
          <w:szCs w:val="27"/>
        </w:rPr>
      </w:pPr>
      <w:hyperlink r:id="rId7" w:history="1">
        <w:r w:rsidRPr="001930A8">
          <w:rPr>
            <w:rFonts w:ascii="Times New Roman" w:eastAsia="Times New Roman" w:hAnsi="Times New Roman" w:cs="Times New Roman"/>
            <w:color w:val="0000FF"/>
            <w:sz w:val="27"/>
            <w:szCs w:val="27"/>
            <w:u w:val="single"/>
          </w:rPr>
          <w:t>https://doi.org/</w:t>
        </w:r>
      </w:hyperlink>
    </w:p>
    <w:p w14:paraId="130F79E7" w14:textId="77777777" w:rsidR="001930A8" w:rsidRPr="001930A8" w:rsidRDefault="001930A8" w:rsidP="001930A8">
      <w:pPr>
        <w:spacing w:after="0" w:line="240" w:lineRule="auto"/>
        <w:rPr>
          <w:rFonts w:ascii="Times New Roman" w:eastAsia="Times New Roman" w:hAnsi="Times New Roman" w:cs="Times New Roman"/>
          <w:color w:val="000000"/>
          <w:sz w:val="27"/>
          <w:szCs w:val="27"/>
        </w:rPr>
      </w:pPr>
      <w:r w:rsidRPr="001930A8">
        <w:rPr>
          <w:rFonts w:ascii="Times New Roman" w:eastAsia="Times New Roman" w:hAnsi="Times New Roman" w:cs="Times New Roman"/>
          <w:b/>
          <w:bCs/>
          <w:color w:val="000000"/>
          <w:sz w:val="27"/>
          <w:szCs w:val="27"/>
        </w:rPr>
        <w:t>Keywords:</w:t>
      </w:r>
      <w:r w:rsidRPr="001930A8">
        <w:rPr>
          <w:rFonts w:ascii="Times New Roman" w:eastAsia="Times New Roman" w:hAnsi="Times New Roman" w:cs="Times New Roman"/>
          <w:color w:val="000000"/>
          <w:sz w:val="27"/>
          <w:szCs w:val="27"/>
        </w:rPr>
        <w:t> ultrasonic flowmeter, flow preparation rectifier, correction factor, equivalent factor, flow rate, loss, polynomial function.</w:t>
      </w:r>
    </w:p>
    <w:p w14:paraId="53C45D9F" w14:textId="77777777" w:rsidR="001930A8" w:rsidRPr="001930A8" w:rsidRDefault="001930A8" w:rsidP="001930A8">
      <w:pPr>
        <w:spacing w:after="0" w:line="240" w:lineRule="auto"/>
        <w:rPr>
          <w:rFonts w:ascii="Times New Roman" w:eastAsia="Times New Roman" w:hAnsi="Times New Roman" w:cs="Times New Roman"/>
          <w:color w:val="000000"/>
          <w:sz w:val="27"/>
          <w:szCs w:val="27"/>
        </w:rPr>
      </w:pPr>
      <w:r w:rsidRPr="001930A8">
        <w:rPr>
          <w:rFonts w:ascii="Times New Roman" w:eastAsia="Times New Roman" w:hAnsi="Times New Roman" w:cs="Times New Roman"/>
          <w:b/>
          <w:bCs/>
          <w:color w:val="000000"/>
          <w:sz w:val="27"/>
          <w:szCs w:val="27"/>
        </w:rPr>
        <w:t>Cite as: </w:t>
      </w:r>
      <w:r w:rsidRPr="001930A8">
        <w:rPr>
          <w:rFonts w:ascii="Times New Roman" w:eastAsia="Times New Roman" w:hAnsi="Times New Roman" w:cs="Times New Roman"/>
          <w:color w:val="000000"/>
          <w:sz w:val="27"/>
          <w:szCs w:val="27"/>
        </w:rPr>
        <w:t>Bilynsky, Y. Y.; Stetsenko, A. A. Improving the accuracy of natural gas flow measurement in conditions of flow preparation rectifier pollution. </w:t>
      </w:r>
      <w:r w:rsidRPr="001930A8">
        <w:rPr>
          <w:rFonts w:ascii="Times New Roman" w:eastAsia="Times New Roman" w:hAnsi="Times New Roman" w:cs="Times New Roman"/>
          <w:i/>
          <w:iCs/>
          <w:color w:val="000000"/>
          <w:sz w:val="27"/>
          <w:szCs w:val="27"/>
        </w:rPr>
        <w:t>Information Extraction and Processing</w:t>
      </w:r>
      <w:r w:rsidRPr="001930A8">
        <w:rPr>
          <w:rFonts w:ascii="Times New Roman" w:eastAsia="Times New Roman" w:hAnsi="Times New Roman" w:cs="Times New Roman"/>
          <w:color w:val="000000"/>
          <w:sz w:val="27"/>
          <w:szCs w:val="27"/>
        </w:rPr>
        <w:t> </w:t>
      </w:r>
      <w:r w:rsidRPr="001930A8">
        <w:rPr>
          <w:rFonts w:ascii="Times New Roman" w:eastAsia="Times New Roman" w:hAnsi="Times New Roman" w:cs="Times New Roman"/>
          <w:b/>
          <w:bCs/>
          <w:color w:val="000000"/>
          <w:sz w:val="27"/>
          <w:szCs w:val="27"/>
        </w:rPr>
        <w:t>2025</w:t>
      </w:r>
      <w:r w:rsidRPr="001930A8">
        <w:rPr>
          <w:rFonts w:ascii="Times New Roman" w:eastAsia="Times New Roman" w:hAnsi="Times New Roman" w:cs="Times New Roman"/>
          <w:color w:val="000000"/>
          <w:sz w:val="27"/>
          <w:szCs w:val="27"/>
        </w:rPr>
        <w:t>, 53 (129), 31-38. DOI:https://doi.org/</w:t>
      </w:r>
    </w:p>
    <w:p w14:paraId="2F487A46" w14:textId="77777777" w:rsidR="001930A8" w:rsidRPr="001930A8" w:rsidRDefault="001930A8" w:rsidP="001930A8">
      <w:pPr>
        <w:spacing w:after="0" w:line="240" w:lineRule="auto"/>
        <w:rPr>
          <w:rFonts w:ascii="Times New Roman" w:eastAsia="Times New Roman" w:hAnsi="Times New Roman" w:cs="Times New Roman"/>
          <w:color w:val="000000"/>
          <w:sz w:val="27"/>
          <w:szCs w:val="27"/>
        </w:rPr>
      </w:pPr>
      <w:hyperlink r:id="rId8" w:history="1">
        <w:r w:rsidRPr="001930A8">
          <w:rPr>
            <w:rFonts w:ascii="Times New Roman" w:eastAsia="Times New Roman" w:hAnsi="Times New Roman" w:cs="Times New Roman"/>
            <w:color w:val="0000FF"/>
            <w:sz w:val="27"/>
            <w:szCs w:val="27"/>
            <w:u w:val="single"/>
          </w:rPr>
          <w:t>Download </w:t>
        </w:r>
        <w:r w:rsidRPr="001930A8">
          <w:rPr>
            <w:rFonts w:ascii="Times New Roman" w:eastAsia="Times New Roman" w:hAnsi="Times New Roman" w:cs="Times New Roman"/>
            <w:noProof/>
            <w:color w:val="0000FF"/>
            <w:sz w:val="27"/>
            <w:szCs w:val="27"/>
          </w:rPr>
          <w:drawing>
            <wp:inline distT="0" distB="0" distL="0" distR="0" wp14:anchorId="2C791932" wp14:editId="3CC85494">
              <wp:extent cx="4876800" cy="4876800"/>
              <wp:effectExtent l="0" t="0" r="0" b="0"/>
              <wp:docPr id="1" name="Рисунок 1">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76800" cy="4876800"/>
                      </a:xfrm>
                      <a:prstGeom prst="rect">
                        <a:avLst/>
                      </a:prstGeom>
                      <a:noFill/>
                      <a:ln>
                        <a:noFill/>
                      </a:ln>
                    </pic:spPr>
                  </pic:pic>
                </a:graphicData>
              </a:graphic>
            </wp:inline>
          </w:drawing>
        </w:r>
      </w:hyperlink>
    </w:p>
    <w:p w14:paraId="0A879D49" w14:textId="77777777" w:rsidR="001930A8" w:rsidRPr="001930A8" w:rsidRDefault="00000000" w:rsidP="001930A8">
      <w:pPr>
        <w:spacing w:after="0" w:line="240"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pict w14:anchorId="6C6186B2">
          <v:rect id="_x0000_i1025" style="width:0;height:1.5pt" o:hralign="center" o:hrstd="t" o:hr="t" fillcolor="#a0a0a0" stroked="f"/>
        </w:pict>
      </w:r>
    </w:p>
    <w:p w14:paraId="0FA9A26F" w14:textId="77777777" w:rsidR="001930A8" w:rsidRPr="001930A8" w:rsidRDefault="001930A8" w:rsidP="001930A8">
      <w:pPr>
        <w:spacing w:after="0" w:line="240" w:lineRule="auto"/>
        <w:jc w:val="center"/>
        <w:rPr>
          <w:rFonts w:ascii="Times New Roman" w:eastAsia="Times New Roman" w:hAnsi="Times New Roman" w:cs="Times New Roman"/>
          <w:color w:val="000000"/>
          <w:sz w:val="27"/>
          <w:szCs w:val="27"/>
        </w:rPr>
      </w:pPr>
      <w:r w:rsidRPr="001930A8">
        <w:rPr>
          <w:rFonts w:ascii="Times New Roman" w:eastAsia="Times New Roman" w:hAnsi="Times New Roman" w:cs="Times New Roman"/>
          <w:b/>
          <w:bCs/>
          <w:color w:val="000000"/>
          <w:sz w:val="27"/>
          <w:szCs w:val="27"/>
        </w:rPr>
        <w:t>Abstract</w:t>
      </w:r>
    </w:p>
    <w:p w14:paraId="79C9368A" w14:textId="77777777" w:rsidR="001930A8" w:rsidRPr="001930A8" w:rsidRDefault="00000000" w:rsidP="001930A8">
      <w:pPr>
        <w:spacing w:after="0" w:line="240"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pict w14:anchorId="74794369">
          <v:rect id="_x0000_i1026" style="width:0;height:1.5pt" o:hralign="center" o:hrstd="t" o:hr="t" fillcolor="#a0a0a0" stroked="f"/>
        </w:pict>
      </w:r>
    </w:p>
    <w:p w14:paraId="373E5182" w14:textId="77777777" w:rsidR="001930A8" w:rsidRPr="001930A8" w:rsidRDefault="001930A8" w:rsidP="001930A8">
      <w:pPr>
        <w:spacing w:before="100" w:beforeAutospacing="1" w:after="100" w:afterAutospacing="1" w:line="240" w:lineRule="auto"/>
        <w:rPr>
          <w:rFonts w:ascii="Times New Roman" w:eastAsia="Times New Roman" w:hAnsi="Times New Roman" w:cs="Times New Roman"/>
          <w:color w:val="000000"/>
          <w:sz w:val="27"/>
          <w:szCs w:val="27"/>
        </w:rPr>
      </w:pPr>
      <w:r w:rsidRPr="001930A8">
        <w:rPr>
          <w:rFonts w:ascii="Times New Roman" w:eastAsia="Times New Roman" w:hAnsi="Times New Roman" w:cs="Times New Roman"/>
          <w:color w:val="000000"/>
          <w:sz w:val="27"/>
          <w:szCs w:val="27"/>
        </w:rPr>
        <w:t xml:space="preserve">To increase the accuracy of ultrasonic flowmeters, they are typically manufactured in a multi-channel design. However, even in this case, problems related to measurement accuracy persist, as the measurement error during the inter-verification period may increase due to contamination of the measuring tube channel or the flow conditioning rectifiers. To address this, channel cleaning procedures are applied based on specific criteria or вЂњdiagnostic sessions,вЂќ which can be time-consuming. An analysis of the literature revealed that the technical condition of ultrasonic natural gas flowmeters </w:t>
      </w:r>
      <w:r w:rsidRPr="001930A8">
        <w:rPr>
          <w:rFonts w:ascii="Times New Roman" w:eastAsia="Times New Roman" w:hAnsi="Times New Roman" w:cs="Times New Roman"/>
          <w:color w:val="000000"/>
          <w:sz w:val="27"/>
          <w:szCs w:val="27"/>
        </w:rPr>
        <w:lastRenderedPageBreak/>
        <w:t>and their measurement characteristics during the inter-verification period may change due to damage to components of the measuring device or contamination of the measuring tube channel and flow conditioning rectifiers. One cost-effective method to improve flow measurement accuracy is the introduction of correction coefficients. As a result of studying the operation of a four-channel ultrasonic flowmeter, a method was developed for determining a correction factor to calculate the volumetric flow rate of natural gas in cases of measuring tube contamination - particularly contamination of the flow conditioning rectifier. The correction factor is derived by comparing reference measurements of gas flow rates through the channels (obtained during meter calibration) with current measurements at the same flow rates. Correction factor values for a specific measurement range were obtained through modeling using the SOLIDWORKS Flow Simulation software package. The contamination process of the measurement channel was simulated by sequentially closing the openings of the flow conditioning rectifier. This enabled the construction of a characteristic curve showing the dependence of the correction factor on an equivalent parameter. Based on this, third-degree polynomials were derived to represent both the direct and inverse relationships between the correction factor and the equivalent parameter, which are used to refine the measurement results of natural gas flow rate.</w:t>
      </w:r>
    </w:p>
    <w:p w14:paraId="6CC9A7FD" w14:textId="77777777" w:rsidR="001930A8" w:rsidRPr="001930A8" w:rsidRDefault="00000000" w:rsidP="001930A8">
      <w:pPr>
        <w:spacing w:after="0" w:line="240"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pict w14:anchorId="6B1C10F2">
          <v:rect id="_x0000_i1027" style="width:0;height:1.5pt" o:hralign="center" o:hrstd="t" o:hr="t" fillcolor="#a0a0a0" stroked="f"/>
        </w:pict>
      </w:r>
    </w:p>
    <w:p w14:paraId="0F3E84DB" w14:textId="77777777" w:rsidR="001930A8" w:rsidRPr="001930A8" w:rsidRDefault="001930A8" w:rsidP="001930A8">
      <w:pPr>
        <w:spacing w:after="0" w:line="240" w:lineRule="auto"/>
        <w:jc w:val="center"/>
        <w:rPr>
          <w:rFonts w:ascii="Times New Roman" w:eastAsia="Times New Roman" w:hAnsi="Times New Roman" w:cs="Times New Roman"/>
          <w:color w:val="000000"/>
          <w:sz w:val="27"/>
          <w:szCs w:val="27"/>
        </w:rPr>
      </w:pPr>
      <w:r w:rsidRPr="001930A8">
        <w:rPr>
          <w:rFonts w:ascii="Times New Roman" w:eastAsia="Times New Roman" w:hAnsi="Times New Roman" w:cs="Times New Roman"/>
          <w:b/>
          <w:bCs/>
          <w:color w:val="000000"/>
          <w:sz w:val="27"/>
          <w:szCs w:val="27"/>
        </w:rPr>
        <w:t>References</w:t>
      </w:r>
    </w:p>
    <w:p w14:paraId="6C7B876B" w14:textId="77777777" w:rsidR="001930A8" w:rsidRPr="001930A8" w:rsidRDefault="00000000" w:rsidP="001930A8">
      <w:pPr>
        <w:spacing w:after="0" w:line="240"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pict w14:anchorId="2EC31338">
          <v:rect id="_x0000_i1028" style="width:0;height:1.5pt" o:hralign="center" o:hrstd="t" o:hr="t" fillcolor="#a0a0a0" stroked="f"/>
        </w:pict>
      </w:r>
    </w:p>
    <w:p w14:paraId="5A07071C" w14:textId="77777777" w:rsidR="001930A8" w:rsidRPr="001930A8" w:rsidRDefault="001930A8" w:rsidP="001930A8">
      <w:pPr>
        <w:spacing w:after="270" w:line="240" w:lineRule="auto"/>
        <w:ind w:left="720"/>
        <w:rPr>
          <w:rFonts w:ascii="Times New Roman" w:eastAsia="Times New Roman" w:hAnsi="Times New Roman" w:cs="Times New Roman"/>
          <w:color w:val="000000"/>
          <w:sz w:val="27"/>
          <w:szCs w:val="27"/>
        </w:rPr>
      </w:pPr>
      <w:r w:rsidRPr="001930A8">
        <w:rPr>
          <w:rFonts w:ascii="Times New Roman" w:eastAsia="Times New Roman" w:hAnsi="Times New Roman" w:cs="Times New Roman"/>
          <w:color w:val="000000"/>
          <w:sz w:val="27"/>
          <w:szCs w:val="27"/>
        </w:rPr>
        <w:t>1. Stetsenko, A.; Bilynsky, Y. Overview of Current Trends in the Development of Ultrasonic Gas Flow Meters. Challenges and Prospects for Replacing Rotary and Turbine Gas Meters. XXIV IMEKO World Congress вЂњThink MetrologyвЂќ, Hamburg, Germany, August 26-29, 2024, 4 p.</w:t>
      </w:r>
      <w:r w:rsidRPr="001930A8">
        <w:rPr>
          <w:rFonts w:ascii="Times New Roman" w:eastAsia="Times New Roman" w:hAnsi="Times New Roman" w:cs="Times New Roman"/>
          <w:color w:val="000000"/>
          <w:sz w:val="27"/>
          <w:szCs w:val="27"/>
        </w:rPr>
        <w:br/>
      </w:r>
      <w:r w:rsidRPr="001930A8">
        <w:rPr>
          <w:rFonts w:ascii="Times New Roman" w:eastAsia="Times New Roman" w:hAnsi="Times New Roman" w:cs="Times New Roman"/>
          <w:color w:val="000000"/>
          <w:sz w:val="27"/>
          <w:szCs w:val="27"/>
        </w:rPr>
        <w:br/>
        <w:t>2. ISO. Measurement of fluid flow in closed conduits - Ultrasonic meters for gas. Part 1: Meters for custody transfer and allocation measurement, ISO 17089-1:2019; Geneva, Switzerland, 2019.</w:t>
      </w:r>
      <w:r w:rsidRPr="001930A8">
        <w:rPr>
          <w:rFonts w:ascii="Times New Roman" w:eastAsia="Times New Roman" w:hAnsi="Times New Roman" w:cs="Times New Roman"/>
          <w:color w:val="000000"/>
          <w:sz w:val="27"/>
          <w:szCs w:val="27"/>
        </w:rPr>
        <w:br/>
      </w:r>
      <w:r w:rsidRPr="001930A8">
        <w:rPr>
          <w:rFonts w:ascii="Times New Roman" w:eastAsia="Times New Roman" w:hAnsi="Times New Roman" w:cs="Times New Roman"/>
          <w:color w:val="000000"/>
          <w:sz w:val="27"/>
          <w:szCs w:val="27"/>
        </w:rPr>
        <w:br/>
        <w:t>3. CEI/IEC. Field acceptance tests to determine the hydraulic performance of hydraulicturbines, storage, pumps and pump turbines. CEI/IEC 60041:1991; Geneva, Switzerland,1991.</w:t>
      </w:r>
      <w:r w:rsidRPr="001930A8">
        <w:rPr>
          <w:rFonts w:ascii="Times New Roman" w:eastAsia="Times New Roman" w:hAnsi="Times New Roman" w:cs="Times New Roman"/>
          <w:color w:val="000000"/>
          <w:sz w:val="27"/>
          <w:szCs w:val="27"/>
        </w:rPr>
        <w:br/>
      </w:r>
      <w:r w:rsidRPr="001930A8">
        <w:rPr>
          <w:rFonts w:ascii="Times New Roman" w:eastAsia="Times New Roman" w:hAnsi="Times New Roman" w:cs="Times New Roman"/>
          <w:color w:val="000000"/>
          <w:sz w:val="27"/>
          <w:szCs w:val="27"/>
        </w:rPr>
        <w:br/>
        <w:t>4. Gryshanova, I.; Rak, A.; Korobko, I. The investigation of the correction factor for ultrasonic flow meters. Measurement 2023, 219, 113326.</w:t>
      </w:r>
      <w:r w:rsidRPr="001930A8">
        <w:rPr>
          <w:rFonts w:ascii="Times New Roman" w:eastAsia="Times New Roman" w:hAnsi="Times New Roman" w:cs="Times New Roman"/>
          <w:color w:val="000000"/>
          <w:sz w:val="27"/>
          <w:szCs w:val="27"/>
        </w:rPr>
        <w:br/>
      </w:r>
      <w:r w:rsidRPr="001930A8">
        <w:rPr>
          <w:rFonts w:ascii="Times New Roman" w:eastAsia="Times New Roman" w:hAnsi="Times New Roman" w:cs="Times New Roman"/>
          <w:color w:val="000000"/>
          <w:sz w:val="27"/>
          <w:szCs w:val="27"/>
        </w:rPr>
        <w:br/>
        <w:t>5. Wen, K.; Yin, X.; Guo, Z.; Yang, J.; Gong, J. Study on Active Control Method of Natural Gas Large Flow Metrological Calibration Process. Oil-Gas Field Surface Engineering 2019, 38(10), 57-63.</w:t>
      </w:r>
      <w:r w:rsidRPr="001930A8">
        <w:rPr>
          <w:rFonts w:ascii="Times New Roman" w:eastAsia="Times New Roman" w:hAnsi="Times New Roman" w:cs="Times New Roman"/>
          <w:color w:val="000000"/>
          <w:sz w:val="27"/>
          <w:szCs w:val="27"/>
        </w:rPr>
        <w:br/>
      </w:r>
      <w:r w:rsidRPr="001930A8">
        <w:rPr>
          <w:rFonts w:ascii="Times New Roman" w:eastAsia="Times New Roman" w:hAnsi="Times New Roman" w:cs="Times New Roman"/>
          <w:color w:val="000000"/>
          <w:sz w:val="27"/>
          <w:szCs w:val="27"/>
        </w:rPr>
        <w:br/>
        <w:t>6. Hall, J.; Zanker, K.; Kelner, E. When Should a Gas Ultrasonic flow meter be Recalibrated? Proceedings of 28th International North Sea Flow Measurement Workshop, St. Andrews, United Kingdom, October 26-29, 2010; Curran Assocates, Inc.: Red Hook, NY, 2011; pp 236-250.</w:t>
      </w:r>
      <w:r w:rsidRPr="001930A8">
        <w:rPr>
          <w:rFonts w:ascii="Times New Roman" w:eastAsia="Times New Roman" w:hAnsi="Times New Roman" w:cs="Times New Roman"/>
          <w:color w:val="000000"/>
          <w:sz w:val="27"/>
          <w:szCs w:val="27"/>
        </w:rPr>
        <w:br/>
      </w:r>
      <w:r w:rsidRPr="001930A8">
        <w:rPr>
          <w:rFonts w:ascii="Times New Roman" w:eastAsia="Times New Roman" w:hAnsi="Times New Roman" w:cs="Times New Roman"/>
          <w:color w:val="000000"/>
          <w:sz w:val="27"/>
          <w:szCs w:val="27"/>
        </w:rPr>
        <w:br/>
        <w:t>7. Hu, H.; Meng, T.; Wang, C. Theoretical analysis of the integration error of ultrasonic flowmeter in the disturbed flow conditions. Acta Metrologica Sinica 2011, 32(3), 198-202.</w:t>
      </w:r>
      <w:r w:rsidRPr="001930A8">
        <w:rPr>
          <w:rFonts w:ascii="Times New Roman" w:eastAsia="Times New Roman" w:hAnsi="Times New Roman" w:cs="Times New Roman"/>
          <w:color w:val="000000"/>
          <w:sz w:val="27"/>
          <w:szCs w:val="27"/>
        </w:rPr>
        <w:br/>
      </w:r>
      <w:r w:rsidRPr="001930A8">
        <w:rPr>
          <w:rFonts w:ascii="Times New Roman" w:eastAsia="Times New Roman" w:hAnsi="Times New Roman" w:cs="Times New Roman"/>
          <w:color w:val="000000"/>
          <w:sz w:val="27"/>
          <w:szCs w:val="27"/>
        </w:rPr>
        <w:br/>
        <w:t>8. Staubli, T.; Luescher, B.; Gruber, P.; Widmer, M. Optimization of the acoustic flow-rate measurement using CFD. International Journal on Hydropower &amp; Dams 2008, 15(2), 109-112.</w:t>
      </w:r>
      <w:r w:rsidRPr="001930A8">
        <w:rPr>
          <w:rFonts w:ascii="Times New Roman" w:eastAsia="Times New Roman" w:hAnsi="Times New Roman" w:cs="Times New Roman"/>
          <w:color w:val="000000"/>
          <w:sz w:val="27"/>
          <w:szCs w:val="27"/>
        </w:rPr>
        <w:br/>
      </w:r>
      <w:r w:rsidRPr="001930A8">
        <w:rPr>
          <w:rFonts w:ascii="Times New Roman" w:eastAsia="Times New Roman" w:hAnsi="Times New Roman" w:cs="Times New Roman"/>
          <w:color w:val="000000"/>
          <w:sz w:val="27"/>
          <w:szCs w:val="27"/>
        </w:rPr>
        <w:br/>
        <w:t>9. Staubli, T.; Luescher, B.; Senn, F.; Widmer, M. CFD optimized acoustic flow measurement and laboratory verification. Proceedings of international conference "Hydraulics, Water Resources, Coastal and Environmental Engineering, HYDRO 2007", Granada, Spain, October 15-17, 2007; 7 p.</w:t>
      </w:r>
      <w:r w:rsidRPr="001930A8">
        <w:rPr>
          <w:rFonts w:ascii="Times New Roman" w:eastAsia="Times New Roman" w:hAnsi="Times New Roman" w:cs="Times New Roman"/>
          <w:color w:val="000000"/>
          <w:sz w:val="27"/>
          <w:szCs w:val="27"/>
        </w:rPr>
        <w:br/>
      </w:r>
      <w:r w:rsidRPr="001930A8">
        <w:rPr>
          <w:rFonts w:ascii="Times New Roman" w:eastAsia="Times New Roman" w:hAnsi="Times New Roman" w:cs="Times New Roman"/>
          <w:color w:val="000000"/>
          <w:sz w:val="27"/>
          <w:szCs w:val="27"/>
        </w:rPr>
        <w:br/>
        <w:t>10. Zanker, K. The effects of Reynolds Number, wall roughness, and profile asymmetry on single-and multipath ultrasonic meters. Proceedings of 17th International North Sea Flow Measurement Workshop, Oslo, Norway, October 25-28, 1999; pp 117-129.</w:t>
      </w:r>
      <w:r w:rsidRPr="001930A8">
        <w:rPr>
          <w:rFonts w:ascii="Times New Roman" w:eastAsia="Times New Roman" w:hAnsi="Times New Roman" w:cs="Times New Roman"/>
          <w:color w:val="000000"/>
          <w:sz w:val="27"/>
          <w:szCs w:val="27"/>
        </w:rPr>
        <w:br/>
      </w:r>
      <w:r w:rsidRPr="001930A8">
        <w:rPr>
          <w:rFonts w:ascii="Times New Roman" w:eastAsia="Times New Roman" w:hAnsi="Times New Roman" w:cs="Times New Roman"/>
          <w:color w:val="000000"/>
          <w:sz w:val="27"/>
          <w:szCs w:val="27"/>
        </w:rPr>
        <w:br/>
        <w:t>11. Measurement of Gas by Multipath Ultrasonic Meters, AGA Report No. 9; American Gas Asso-ciation: Arlington, VA, 1998.</w:t>
      </w:r>
      <w:r w:rsidRPr="001930A8">
        <w:rPr>
          <w:rFonts w:ascii="Times New Roman" w:eastAsia="Times New Roman" w:hAnsi="Times New Roman" w:cs="Times New Roman"/>
          <w:color w:val="000000"/>
          <w:sz w:val="27"/>
          <w:szCs w:val="27"/>
        </w:rPr>
        <w:br/>
      </w:r>
      <w:r w:rsidRPr="001930A8">
        <w:rPr>
          <w:rFonts w:ascii="Times New Roman" w:eastAsia="Times New Roman" w:hAnsi="Times New Roman" w:cs="Times New Roman"/>
          <w:color w:val="000000"/>
          <w:sz w:val="27"/>
          <w:szCs w:val="27"/>
        </w:rPr>
        <w:br/>
      </w:r>
    </w:p>
    <w:p w14:paraId="5AA8A519" w14:textId="77777777" w:rsidR="00AB2893" w:rsidRDefault="00AB2893"/>
    <w:sectPr w:rsidR="00AB289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30A8"/>
    <w:rsid w:val="001930A8"/>
    <w:rsid w:val="005809C9"/>
    <w:rsid w:val="00AB2893"/>
    <w:rsid w:val="00DE4B9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32050A"/>
  <w15:chartTrackingRefBased/>
  <w15:docId w15:val="{2DB63D72-776E-4E86-AE8B-0511CE2EF1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930A8"/>
    <w:rPr>
      <w:color w:val="0000FF"/>
      <w:u w:val="single"/>
    </w:rPr>
  </w:style>
  <w:style w:type="paragraph" w:styleId="NormalWeb">
    <w:name w:val="Normal (Web)"/>
    <w:basedOn w:val="Normal"/>
    <w:uiPriority w:val="99"/>
    <w:semiHidden/>
    <w:unhideWhenUsed/>
    <w:rsid w:val="001930A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9682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vidbir.ipm.lviv.ua/vidbir-2025-129-5.pdf" TargetMode="External"/><Relationship Id="rId3" Type="http://schemas.openxmlformats.org/officeDocument/2006/relationships/webSettings" Target="webSettings.xml"/><Relationship Id="rId7" Type="http://schemas.openxmlformats.org/officeDocument/2006/relationships/hyperlink" Target="https://doi.or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orcid.org/0009-0004-2967-8867" TargetMode="External"/><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hyperlink" Target="https://orcid.org/0000-0002-9659-7221" TargetMode="Externa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3187</Words>
  <Characters>1817</Characters>
  <Application>Microsoft Office Word</Application>
  <DocSecurity>0</DocSecurity>
  <Lines>15</Lines>
  <Paragraphs>9</Paragraphs>
  <ScaleCrop>false</ScaleCrop>
  <Company/>
  <LinksUpToDate>false</LinksUpToDate>
  <CharactersWithSpaces>4995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Andrii Stetsenko</dc:creator>
  <cp:keywords/>
  <dc:description/>
  <cp:lastModifiedBy>Yosyp Bilynsky</cp:lastModifiedBy>
  <cp:revision>2</cp:revision>
  <dcterms:created xsi:type="dcterms:W3CDTF">2025-12-19T21:26:00Z</dcterms:created>
  <dcterms:modified xsi:type="dcterms:W3CDTF">2025-12-19T21:26:00Z</dcterms:modified>
</cp:coreProperties>
</file>