
<file path=[Content_Types].xml><?xml version="1.0" encoding="utf-8"?>
<Types xmlns="http://schemas.openxmlformats.org/package/2006/content-types"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940" w:rsidRDefault="008F3ED3" w:rsidP="008F3ED3">
      <w:pPr>
        <w:autoSpaceDE w:val="0"/>
        <w:autoSpaceDN w:val="0"/>
        <w:adjustRightInd w:val="0"/>
        <w:spacing w:line="360" w:lineRule="auto"/>
        <w:ind w:firstLine="567"/>
        <w:jc w:val="right"/>
        <w:rPr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 w:eastAsia="en-US"/>
        </w:rPr>
        <w:t xml:space="preserve">І. В. </w:t>
      </w:r>
      <w:proofErr w:type="spellStart"/>
      <w:r>
        <w:rPr>
          <w:b/>
          <w:bCs/>
          <w:sz w:val="28"/>
          <w:szCs w:val="28"/>
          <w:lang w:val="uk-UA" w:eastAsia="en-US"/>
        </w:rPr>
        <w:t>Заюков</w:t>
      </w:r>
      <w:proofErr w:type="spellEnd"/>
      <w:r>
        <w:rPr>
          <w:b/>
          <w:bCs/>
          <w:sz w:val="28"/>
          <w:szCs w:val="28"/>
          <w:lang w:val="uk-UA" w:eastAsia="en-US"/>
        </w:rPr>
        <w:t xml:space="preserve">, </w:t>
      </w:r>
      <w:proofErr w:type="spellStart"/>
      <w:r>
        <w:rPr>
          <w:b/>
          <w:bCs/>
          <w:sz w:val="28"/>
          <w:szCs w:val="28"/>
          <w:lang w:val="uk-UA" w:eastAsia="en-US"/>
        </w:rPr>
        <w:t>к.е.</w:t>
      </w:r>
      <w:r w:rsidR="005974D2" w:rsidRPr="00C31970">
        <w:rPr>
          <w:b/>
          <w:bCs/>
          <w:sz w:val="28"/>
          <w:szCs w:val="28"/>
          <w:lang w:val="uk-UA" w:eastAsia="en-US"/>
        </w:rPr>
        <w:t>н</w:t>
      </w:r>
      <w:proofErr w:type="spellEnd"/>
      <w:r w:rsidR="005974D2" w:rsidRPr="00C31970">
        <w:rPr>
          <w:b/>
          <w:bCs/>
          <w:sz w:val="28"/>
          <w:szCs w:val="28"/>
          <w:lang w:val="uk-UA" w:eastAsia="en-US"/>
        </w:rPr>
        <w:t>., доцент</w:t>
      </w:r>
    </w:p>
    <w:p w:rsidR="009F413A" w:rsidRPr="00C31970" w:rsidRDefault="009F413A" w:rsidP="008F3ED3">
      <w:pPr>
        <w:autoSpaceDE w:val="0"/>
        <w:autoSpaceDN w:val="0"/>
        <w:adjustRightInd w:val="0"/>
        <w:spacing w:line="360" w:lineRule="auto"/>
        <w:ind w:firstLine="567"/>
        <w:jc w:val="right"/>
        <w:rPr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 w:eastAsia="en-US"/>
        </w:rPr>
        <w:t>Вінницький національний технічний університет</w:t>
      </w:r>
    </w:p>
    <w:p w:rsidR="005974D2" w:rsidRPr="00C31970" w:rsidRDefault="005974D2" w:rsidP="008F3ED3">
      <w:pPr>
        <w:autoSpaceDE w:val="0"/>
        <w:autoSpaceDN w:val="0"/>
        <w:adjustRightInd w:val="0"/>
        <w:spacing w:line="360" w:lineRule="auto"/>
        <w:ind w:firstLine="567"/>
        <w:jc w:val="center"/>
        <w:rPr>
          <w:b/>
          <w:bCs/>
          <w:sz w:val="28"/>
          <w:szCs w:val="28"/>
          <w:lang w:val="uk-UA" w:eastAsia="en-US"/>
        </w:rPr>
      </w:pPr>
    </w:p>
    <w:p w:rsidR="0042768E" w:rsidRPr="00C31970" w:rsidRDefault="00070BD8" w:rsidP="008F3ED3">
      <w:pPr>
        <w:autoSpaceDE w:val="0"/>
        <w:autoSpaceDN w:val="0"/>
        <w:adjustRightInd w:val="0"/>
        <w:spacing w:line="360" w:lineRule="auto"/>
        <w:ind w:firstLine="567"/>
        <w:jc w:val="center"/>
        <w:rPr>
          <w:b/>
          <w:bCs/>
          <w:sz w:val="28"/>
          <w:szCs w:val="28"/>
          <w:lang w:val="uk-UA" w:eastAsia="en-US"/>
        </w:rPr>
      </w:pPr>
      <w:r w:rsidRPr="00C31970">
        <w:rPr>
          <w:b/>
          <w:bCs/>
          <w:sz w:val="28"/>
          <w:szCs w:val="28"/>
          <w:lang w:val="uk-UA" w:eastAsia="en-US"/>
        </w:rPr>
        <w:t xml:space="preserve">РОЗВИТОК ОСВІТИ </w:t>
      </w:r>
      <w:r w:rsidR="000704DD">
        <w:rPr>
          <w:b/>
          <w:bCs/>
          <w:sz w:val="28"/>
          <w:szCs w:val="28"/>
          <w:lang w:val="uk-UA" w:eastAsia="en-US"/>
        </w:rPr>
        <w:t xml:space="preserve">ВПРОДОВЖ ЖИТТЯ </w:t>
      </w:r>
      <w:r w:rsidR="00D97239">
        <w:rPr>
          <w:b/>
          <w:bCs/>
          <w:sz w:val="28"/>
          <w:szCs w:val="28"/>
          <w:lang w:val="uk-UA" w:eastAsia="en-US"/>
        </w:rPr>
        <w:t>В АСПЕКТІ ПОСИЛЕННЯ ЕКОНОМІЧНОГО ПОТЕНЦІАЛУ ДЕРЖАВИ</w:t>
      </w:r>
    </w:p>
    <w:p w:rsidR="00482EED" w:rsidRPr="00C31970" w:rsidRDefault="00482EED" w:rsidP="008F3ED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  <w:lang w:val="uk-UA" w:eastAsia="en-US"/>
        </w:rPr>
      </w:pPr>
    </w:p>
    <w:p w:rsidR="009F7BB8" w:rsidRDefault="00AE1A03" w:rsidP="000704D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  <w:lang w:val="uk-UA" w:eastAsia="en-US"/>
        </w:rPr>
      </w:pPr>
      <w:r>
        <w:rPr>
          <w:bCs/>
          <w:sz w:val="28"/>
          <w:szCs w:val="28"/>
          <w:lang w:val="uk-UA" w:eastAsia="en-US"/>
        </w:rPr>
        <w:t xml:space="preserve">Відповідно до </w:t>
      </w:r>
      <w:r w:rsidR="00144D89">
        <w:rPr>
          <w:bCs/>
          <w:sz w:val="28"/>
          <w:szCs w:val="28"/>
          <w:lang w:val="uk-UA" w:eastAsia="en-US"/>
        </w:rPr>
        <w:t xml:space="preserve">пріоритетів розвитку економіки, </w:t>
      </w:r>
      <w:r>
        <w:rPr>
          <w:bCs/>
          <w:sz w:val="28"/>
          <w:szCs w:val="28"/>
          <w:lang w:val="uk-UA" w:eastAsia="en-US"/>
        </w:rPr>
        <w:t>освіта</w:t>
      </w:r>
      <w:r w:rsidR="00144D89">
        <w:rPr>
          <w:bCs/>
          <w:sz w:val="28"/>
          <w:szCs w:val="28"/>
          <w:lang w:val="uk-UA" w:eastAsia="en-US"/>
        </w:rPr>
        <w:t xml:space="preserve"> впродовж життя</w:t>
      </w:r>
      <w:r>
        <w:rPr>
          <w:bCs/>
          <w:sz w:val="28"/>
          <w:szCs w:val="28"/>
          <w:lang w:val="uk-UA" w:eastAsia="en-US"/>
        </w:rPr>
        <w:t xml:space="preserve"> розглядається як визначальний чинник</w:t>
      </w:r>
      <w:r w:rsidR="00130ACE" w:rsidRPr="00130ACE">
        <w:rPr>
          <w:bCs/>
          <w:sz w:val="28"/>
          <w:szCs w:val="28"/>
          <w:lang w:val="uk-UA" w:eastAsia="en-US"/>
        </w:rPr>
        <w:t xml:space="preserve"> </w:t>
      </w:r>
      <w:r>
        <w:rPr>
          <w:bCs/>
          <w:sz w:val="28"/>
          <w:szCs w:val="28"/>
          <w:lang w:val="uk-UA" w:eastAsia="en-US"/>
        </w:rPr>
        <w:t>людського прогресу</w:t>
      </w:r>
      <w:r w:rsidR="00144D89">
        <w:rPr>
          <w:bCs/>
          <w:sz w:val="28"/>
          <w:szCs w:val="28"/>
          <w:lang w:val="uk-UA" w:eastAsia="en-US"/>
        </w:rPr>
        <w:t>,</w:t>
      </w:r>
      <w:r>
        <w:rPr>
          <w:bCs/>
          <w:sz w:val="28"/>
          <w:szCs w:val="28"/>
          <w:lang w:val="uk-UA" w:eastAsia="en-US"/>
        </w:rPr>
        <w:t xml:space="preserve"> </w:t>
      </w:r>
      <w:r w:rsidR="00144D89">
        <w:rPr>
          <w:bCs/>
          <w:sz w:val="28"/>
          <w:szCs w:val="28"/>
          <w:lang w:val="uk-UA" w:eastAsia="en-US"/>
        </w:rPr>
        <w:t>передумова формування інтелектуального, духовного і економічного</w:t>
      </w:r>
      <w:r w:rsidR="00130ACE" w:rsidRPr="00130ACE">
        <w:rPr>
          <w:bCs/>
          <w:sz w:val="28"/>
          <w:szCs w:val="28"/>
          <w:lang w:val="uk-UA" w:eastAsia="en-US"/>
        </w:rPr>
        <w:t xml:space="preserve"> потенціал</w:t>
      </w:r>
      <w:r w:rsidR="00144D89">
        <w:rPr>
          <w:bCs/>
          <w:sz w:val="28"/>
          <w:szCs w:val="28"/>
          <w:lang w:val="uk-UA" w:eastAsia="en-US"/>
        </w:rPr>
        <w:t>у</w:t>
      </w:r>
      <w:r>
        <w:rPr>
          <w:bCs/>
          <w:sz w:val="28"/>
          <w:szCs w:val="28"/>
          <w:lang w:val="uk-UA" w:eastAsia="en-US"/>
        </w:rPr>
        <w:t xml:space="preserve"> держави</w:t>
      </w:r>
      <w:r w:rsidR="00130ACE" w:rsidRPr="00130ACE">
        <w:rPr>
          <w:bCs/>
          <w:sz w:val="28"/>
          <w:szCs w:val="28"/>
          <w:lang w:val="uk-UA" w:eastAsia="en-US"/>
        </w:rPr>
        <w:t>.</w:t>
      </w:r>
      <w:r w:rsidR="000704DD">
        <w:rPr>
          <w:bCs/>
          <w:sz w:val="28"/>
          <w:szCs w:val="28"/>
          <w:lang w:val="uk-UA" w:eastAsia="en-US"/>
        </w:rPr>
        <w:t xml:space="preserve"> Перспективність дослідження пояснюється тим, що нині з</w:t>
      </w:r>
      <w:r w:rsidR="00D32BA2" w:rsidRPr="00C31970">
        <w:rPr>
          <w:bCs/>
          <w:sz w:val="28"/>
          <w:szCs w:val="28"/>
          <w:lang w:val="uk-UA" w:eastAsia="en-US"/>
        </w:rPr>
        <w:t>а</w:t>
      </w:r>
      <w:r w:rsidR="005A4940" w:rsidRPr="00C31970">
        <w:rPr>
          <w:bCs/>
          <w:sz w:val="28"/>
          <w:szCs w:val="28"/>
          <w:lang w:val="uk-UA" w:eastAsia="en-US"/>
        </w:rPr>
        <w:t xml:space="preserve">гальна кількість </w:t>
      </w:r>
      <w:r w:rsidR="000704DD">
        <w:rPr>
          <w:bCs/>
          <w:sz w:val="28"/>
          <w:szCs w:val="28"/>
          <w:lang w:val="uk-UA" w:eastAsia="en-US"/>
        </w:rPr>
        <w:t>осіб дорослого населення, які проходять навчання в розвинених країнах  перевищує</w:t>
      </w:r>
      <w:r w:rsidR="005A4940" w:rsidRPr="00C31970">
        <w:rPr>
          <w:bCs/>
          <w:sz w:val="28"/>
          <w:szCs w:val="28"/>
          <w:lang w:val="uk-UA" w:eastAsia="en-US"/>
        </w:rPr>
        <w:t xml:space="preserve"> сумарну кількість учнів в інституціях шкільної освіти.</w:t>
      </w:r>
      <w:r w:rsidR="000704DD">
        <w:rPr>
          <w:bCs/>
          <w:sz w:val="28"/>
          <w:szCs w:val="28"/>
          <w:lang w:val="uk-UA" w:eastAsia="en-US"/>
        </w:rPr>
        <w:t xml:space="preserve"> </w:t>
      </w:r>
      <w:r w:rsidR="00144D89">
        <w:rPr>
          <w:bCs/>
          <w:sz w:val="28"/>
          <w:szCs w:val="28"/>
          <w:lang w:val="uk-UA" w:eastAsia="en-US"/>
        </w:rPr>
        <w:t>Зазначені тенденції додатково збільшують вартість людського капіталу, що має бути характерним і для України.</w:t>
      </w:r>
    </w:p>
    <w:p w:rsidR="009F7BB8" w:rsidRPr="00C31970" w:rsidRDefault="009F413A" w:rsidP="009F7BB8">
      <w:pPr>
        <w:pStyle w:val="Default"/>
        <w:spacing w:line="360" w:lineRule="auto"/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Актуальність і перспективність досліджень в цьому напрямку свідчать такі статистичні дані. В</w:t>
      </w:r>
      <w:r w:rsidR="004C5533">
        <w:rPr>
          <w:sz w:val="28"/>
          <w:szCs w:val="28"/>
          <w:lang w:val="uk-UA"/>
        </w:rPr>
        <w:t xml:space="preserve"> розвинених країнах біля</w:t>
      </w:r>
      <w:r w:rsidR="009F7BB8" w:rsidRPr="00C31970">
        <w:rPr>
          <w:sz w:val="28"/>
          <w:szCs w:val="28"/>
          <w:lang w:val="uk-UA"/>
        </w:rPr>
        <w:t xml:space="preserve"> 50% населення беруть участь у різних освітніх проекта</w:t>
      </w:r>
      <w:r w:rsidR="00DE7D20">
        <w:rPr>
          <w:sz w:val="28"/>
          <w:szCs w:val="28"/>
          <w:lang w:val="uk-UA"/>
        </w:rPr>
        <w:t>х, наприклад,</w:t>
      </w:r>
      <w:r w:rsidR="00DE7D20">
        <w:rPr>
          <w:sz w:val="28"/>
          <w:szCs w:val="28"/>
          <w:lang w:val="en-US"/>
        </w:rPr>
        <w:t xml:space="preserve"> </w:t>
      </w:r>
      <w:r w:rsidR="009F7BB8" w:rsidRPr="00C31970">
        <w:rPr>
          <w:bCs/>
          <w:sz w:val="28"/>
          <w:szCs w:val="28"/>
          <w:lang w:val="uk-UA"/>
        </w:rPr>
        <w:t>Данія, Фінляндія, Ісландія, Норвегія, Швеція</w:t>
      </w:r>
      <w:r w:rsidR="004C5533">
        <w:rPr>
          <w:bCs/>
          <w:sz w:val="28"/>
          <w:szCs w:val="28"/>
          <w:lang w:val="uk-UA"/>
        </w:rPr>
        <w:t xml:space="preserve"> </w:t>
      </w:r>
      <w:r w:rsidR="009F7BB8" w:rsidRPr="00C31970">
        <w:rPr>
          <w:bCs/>
          <w:sz w:val="28"/>
          <w:szCs w:val="28"/>
          <w:lang w:val="uk-UA"/>
        </w:rPr>
        <w:t>Австралія, Канада США</w:t>
      </w:r>
      <w:r w:rsidR="009F7BB8">
        <w:rPr>
          <w:bCs/>
          <w:sz w:val="28"/>
          <w:szCs w:val="28"/>
          <w:lang w:val="uk-UA"/>
        </w:rPr>
        <w:t>,</w:t>
      </w:r>
      <w:r w:rsidR="009F7BB8" w:rsidRPr="00C31970">
        <w:rPr>
          <w:bCs/>
          <w:sz w:val="28"/>
          <w:szCs w:val="28"/>
          <w:lang w:val="uk-UA"/>
        </w:rPr>
        <w:t xml:space="preserve"> Австрія, Люксембург, Голландія, Швейцарія</w:t>
      </w:r>
      <w:r w:rsidR="004C5533">
        <w:rPr>
          <w:bCs/>
          <w:sz w:val="28"/>
          <w:szCs w:val="28"/>
          <w:lang w:val="uk-UA"/>
        </w:rPr>
        <w:t xml:space="preserve"> та ін.</w:t>
      </w:r>
      <w:r w:rsidR="009F7BB8">
        <w:rPr>
          <w:sz w:val="28"/>
          <w:szCs w:val="28"/>
          <w:lang w:val="uk-UA"/>
        </w:rPr>
        <w:t xml:space="preserve"> </w:t>
      </w:r>
      <w:r w:rsidR="009F7BB8" w:rsidRPr="00C31970">
        <w:rPr>
          <w:sz w:val="28"/>
          <w:szCs w:val="28"/>
          <w:lang w:val="uk-UA"/>
        </w:rPr>
        <w:t xml:space="preserve">В офіційному документі Європейської Комісії  зазначається, що у 2008 р. </w:t>
      </w:r>
      <w:r>
        <w:rPr>
          <w:sz w:val="28"/>
          <w:szCs w:val="28"/>
          <w:lang w:val="uk-UA"/>
        </w:rPr>
        <w:t>в країнах</w:t>
      </w:r>
      <w:r w:rsidR="009F7BB8" w:rsidRPr="00C31970">
        <w:rPr>
          <w:sz w:val="28"/>
          <w:szCs w:val="28"/>
          <w:lang w:val="uk-UA"/>
        </w:rPr>
        <w:t xml:space="preserve"> ЄС 9,5% дорослих віком 25−64 років були охоплені різними формами неформальної освіти та ставиться за мету досягти у середньому 12,5% населення у країнах Євросоюзу</w:t>
      </w:r>
      <w:r w:rsidR="00E30271">
        <w:rPr>
          <w:sz w:val="28"/>
          <w:szCs w:val="28"/>
          <w:lang w:val="uk-UA"/>
        </w:rPr>
        <w:t xml:space="preserve"> [1]</w:t>
      </w:r>
      <w:r w:rsidR="009F7BB8" w:rsidRPr="00C31970">
        <w:rPr>
          <w:sz w:val="28"/>
          <w:szCs w:val="28"/>
          <w:lang w:val="uk-UA"/>
        </w:rPr>
        <w:t>. В</w:t>
      </w:r>
      <w:r w:rsidR="009F7BB8" w:rsidRPr="00C31970">
        <w:rPr>
          <w:bCs/>
          <w:sz w:val="28"/>
          <w:szCs w:val="28"/>
          <w:lang w:val="uk-UA"/>
        </w:rPr>
        <w:t xml:space="preserve"> системі освіти дорослих України </w:t>
      </w:r>
      <w:r w:rsidR="00DF16EF">
        <w:rPr>
          <w:bCs/>
          <w:sz w:val="28"/>
          <w:szCs w:val="28"/>
          <w:lang w:val="uk-UA"/>
        </w:rPr>
        <w:t>щ</w:t>
      </w:r>
      <w:r w:rsidR="009F7BB8" w:rsidRPr="00C31970">
        <w:rPr>
          <w:bCs/>
          <w:sz w:val="28"/>
          <w:szCs w:val="28"/>
          <w:lang w:val="uk-UA"/>
        </w:rPr>
        <w:t>орічно через таку систему навчання пр</w:t>
      </w:r>
      <w:r>
        <w:rPr>
          <w:bCs/>
          <w:sz w:val="28"/>
          <w:szCs w:val="28"/>
          <w:lang w:val="uk-UA"/>
        </w:rPr>
        <w:t>оходять понад 300 000 фахівців, що становить</w:t>
      </w:r>
      <w:r w:rsidR="00DF16EF">
        <w:rPr>
          <w:bCs/>
          <w:sz w:val="28"/>
          <w:szCs w:val="28"/>
          <w:lang w:val="uk-UA"/>
        </w:rPr>
        <w:t xml:space="preserve"> лише</w:t>
      </w:r>
      <w:r>
        <w:rPr>
          <w:bCs/>
          <w:sz w:val="28"/>
          <w:szCs w:val="28"/>
          <w:lang w:val="uk-UA"/>
        </w:rPr>
        <w:t xml:space="preserve"> 1,13% дорослого населення. Отже, по відносним показника Україна відстає від країн ЄС.</w:t>
      </w:r>
    </w:p>
    <w:p w:rsidR="00E6239F" w:rsidRDefault="009F413A" w:rsidP="009F7BB8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="009F7BB8" w:rsidRPr="00C31970">
        <w:rPr>
          <w:sz w:val="28"/>
          <w:szCs w:val="28"/>
          <w:lang w:val="uk-UA"/>
        </w:rPr>
        <w:t>Німеччин</w:t>
      </w:r>
      <w:r>
        <w:rPr>
          <w:sz w:val="28"/>
          <w:szCs w:val="28"/>
          <w:lang w:val="uk-UA"/>
        </w:rPr>
        <w:t>і</w:t>
      </w:r>
      <w:r w:rsidR="009F7BB8" w:rsidRPr="00C31970">
        <w:rPr>
          <w:sz w:val="28"/>
          <w:szCs w:val="28"/>
          <w:lang w:val="uk-UA"/>
        </w:rPr>
        <w:t>, Польщі, Литв</w:t>
      </w:r>
      <w:r>
        <w:rPr>
          <w:sz w:val="28"/>
          <w:szCs w:val="28"/>
          <w:lang w:val="uk-UA"/>
        </w:rPr>
        <w:t>і</w:t>
      </w:r>
      <w:r w:rsidR="009F7BB8" w:rsidRPr="00C31970">
        <w:rPr>
          <w:sz w:val="28"/>
          <w:szCs w:val="28"/>
          <w:lang w:val="uk-UA"/>
        </w:rPr>
        <w:t>, Швеції та інших країн</w:t>
      </w:r>
      <w:r>
        <w:rPr>
          <w:sz w:val="28"/>
          <w:szCs w:val="28"/>
          <w:lang w:val="uk-UA"/>
        </w:rPr>
        <w:t xml:space="preserve"> ЄС </w:t>
      </w:r>
      <w:r w:rsidR="00E01AE3">
        <w:rPr>
          <w:sz w:val="28"/>
          <w:szCs w:val="28"/>
          <w:lang w:val="uk-UA"/>
        </w:rPr>
        <w:t xml:space="preserve">люди </w:t>
      </w:r>
      <w:r w:rsidR="009F7BB8" w:rsidRPr="00C31970">
        <w:rPr>
          <w:sz w:val="28"/>
          <w:szCs w:val="28"/>
          <w:lang w:val="uk-UA"/>
        </w:rPr>
        <w:t>навчаються</w:t>
      </w:r>
      <w:r w:rsidR="00E01AE3">
        <w:rPr>
          <w:sz w:val="28"/>
          <w:szCs w:val="28"/>
          <w:lang w:val="uk-UA"/>
        </w:rPr>
        <w:t xml:space="preserve"> до </w:t>
      </w:r>
      <w:r w:rsidR="009F7BB8" w:rsidRPr="00C31970">
        <w:rPr>
          <w:sz w:val="28"/>
          <w:szCs w:val="28"/>
          <w:lang w:val="uk-UA"/>
        </w:rPr>
        <w:t>80 років</w:t>
      </w:r>
      <w:r w:rsidR="00E01AE3">
        <w:rPr>
          <w:sz w:val="28"/>
          <w:szCs w:val="28"/>
          <w:lang w:val="uk-UA"/>
        </w:rPr>
        <w:t>. Тому</w:t>
      </w:r>
      <w:r w:rsidR="009F7BB8" w:rsidRPr="00C31970">
        <w:rPr>
          <w:sz w:val="28"/>
          <w:szCs w:val="28"/>
          <w:lang w:val="uk-UA"/>
        </w:rPr>
        <w:t xml:space="preserve"> можна зробити висновок, що інвестиції в освіту протягом життя, це </w:t>
      </w:r>
      <w:r w:rsidR="009F7BB8">
        <w:rPr>
          <w:sz w:val="28"/>
          <w:szCs w:val="28"/>
          <w:lang w:val="uk-UA"/>
        </w:rPr>
        <w:t xml:space="preserve">фінансування </w:t>
      </w:r>
      <w:r w:rsidR="009F7BB8" w:rsidRPr="00C31970">
        <w:rPr>
          <w:sz w:val="28"/>
          <w:szCs w:val="28"/>
          <w:lang w:val="uk-UA"/>
        </w:rPr>
        <w:t xml:space="preserve">в стабільність розвитку країни та її людей. </w:t>
      </w:r>
      <w:r w:rsidR="009F7BB8" w:rsidRPr="00C31970">
        <w:rPr>
          <w:bCs/>
          <w:sz w:val="28"/>
          <w:szCs w:val="28"/>
          <w:lang w:val="uk-UA" w:eastAsia="en-US"/>
        </w:rPr>
        <w:t xml:space="preserve">Виходячи з теорії людського капіталу, </w:t>
      </w:r>
      <w:r w:rsidR="00A11AB5">
        <w:rPr>
          <w:bCs/>
          <w:sz w:val="28"/>
          <w:szCs w:val="28"/>
          <w:lang w:val="uk-UA" w:eastAsia="en-US"/>
        </w:rPr>
        <w:t xml:space="preserve">освічені люди </w:t>
      </w:r>
      <w:r w:rsidR="009F7BB8" w:rsidRPr="00C31970">
        <w:rPr>
          <w:bCs/>
          <w:sz w:val="28"/>
          <w:szCs w:val="28"/>
          <w:lang w:val="uk-UA" w:eastAsia="en-US"/>
        </w:rPr>
        <w:t>мають</w:t>
      </w:r>
      <w:r w:rsidR="00A11AB5">
        <w:rPr>
          <w:bCs/>
          <w:sz w:val="28"/>
          <w:szCs w:val="28"/>
          <w:lang w:val="uk-UA" w:eastAsia="en-US"/>
        </w:rPr>
        <w:t xml:space="preserve"> більше шансів</w:t>
      </w:r>
      <w:r w:rsidR="009F7BB8" w:rsidRPr="00C31970">
        <w:rPr>
          <w:bCs/>
          <w:sz w:val="28"/>
          <w:szCs w:val="28"/>
          <w:lang w:val="uk-UA" w:eastAsia="en-US"/>
        </w:rPr>
        <w:t xml:space="preserve">, </w:t>
      </w:r>
      <w:r w:rsidR="009F7BB8">
        <w:rPr>
          <w:bCs/>
          <w:sz w:val="28"/>
          <w:szCs w:val="28"/>
          <w:lang w:val="uk-UA" w:eastAsia="en-US"/>
        </w:rPr>
        <w:t>у тому числі</w:t>
      </w:r>
      <w:r w:rsidR="00A11AB5">
        <w:rPr>
          <w:bCs/>
          <w:sz w:val="28"/>
          <w:szCs w:val="28"/>
          <w:lang w:val="uk-UA" w:eastAsia="en-US"/>
        </w:rPr>
        <w:t xml:space="preserve"> вибрати кращу і високооплачувану роботу, отримати </w:t>
      </w:r>
      <w:r w:rsidR="009F7BB8" w:rsidRPr="00C31970">
        <w:rPr>
          <w:bCs/>
          <w:sz w:val="28"/>
          <w:szCs w:val="28"/>
          <w:lang w:val="uk-UA" w:eastAsia="en-US"/>
        </w:rPr>
        <w:t xml:space="preserve">задоволення від роботи і інші соціальні переваги.  </w:t>
      </w:r>
      <w:r w:rsidR="00A11AB5">
        <w:rPr>
          <w:bCs/>
          <w:sz w:val="28"/>
          <w:szCs w:val="28"/>
          <w:lang w:val="uk-UA" w:eastAsia="en-US"/>
        </w:rPr>
        <w:t>Таким чином, підвищення рівня освіти має істотно вплинути</w:t>
      </w:r>
      <w:r w:rsidR="00E6239F">
        <w:rPr>
          <w:bCs/>
          <w:sz w:val="28"/>
          <w:szCs w:val="28"/>
          <w:lang w:val="uk-UA" w:eastAsia="en-US"/>
        </w:rPr>
        <w:t xml:space="preserve"> на життєвий рівень населення та</w:t>
      </w:r>
      <w:r w:rsidR="00A11AB5">
        <w:rPr>
          <w:bCs/>
          <w:sz w:val="28"/>
          <w:szCs w:val="28"/>
          <w:lang w:val="uk-UA" w:eastAsia="en-US"/>
        </w:rPr>
        <w:t xml:space="preserve"> на динаміку зростання економічної активності </w:t>
      </w:r>
      <w:r w:rsidR="00A11AB5">
        <w:rPr>
          <w:bCs/>
          <w:sz w:val="28"/>
          <w:szCs w:val="28"/>
          <w:lang w:val="uk-UA" w:eastAsia="en-US"/>
        </w:rPr>
        <w:lastRenderedPageBreak/>
        <w:t>населення, у тому числі осіб, які перетнули межу в 60 років, але є цілком активними.</w:t>
      </w:r>
      <w:r w:rsidR="00D76F68">
        <w:rPr>
          <w:bCs/>
          <w:sz w:val="28"/>
          <w:szCs w:val="28"/>
          <w:lang w:val="uk-UA" w:eastAsia="en-US"/>
        </w:rPr>
        <w:t xml:space="preserve"> Але, дані рисунку 1 показують, що при можливості задоволення потреб дорослого населення в освітніх послугах в країнах ЄС</w:t>
      </w:r>
      <w:r w:rsidR="00DE7D20">
        <w:rPr>
          <w:bCs/>
          <w:sz w:val="28"/>
          <w:szCs w:val="28"/>
          <w:lang w:val="uk-UA" w:eastAsia="en-US"/>
        </w:rPr>
        <w:t>,</w:t>
      </w:r>
      <w:r w:rsidR="00D76F68">
        <w:rPr>
          <w:bCs/>
          <w:sz w:val="28"/>
          <w:szCs w:val="28"/>
          <w:lang w:val="uk-UA" w:eastAsia="en-US"/>
        </w:rPr>
        <w:t xml:space="preserve"> рівень зайнятості значно менше, ніж у нас. </w:t>
      </w:r>
      <w:r w:rsidR="00E6239F">
        <w:rPr>
          <w:sz w:val="28"/>
          <w:lang w:val="uk-UA"/>
        </w:rPr>
        <w:t>Розглянемо динаміку зайнятого населення у віці більше 65 років в країнах СНД та ЄС в 2011 році на рисунку 1</w:t>
      </w:r>
      <w:r w:rsidR="00D76F68">
        <w:rPr>
          <w:sz w:val="28"/>
          <w:lang w:val="uk-UA"/>
        </w:rPr>
        <w:t xml:space="preserve"> [</w:t>
      </w:r>
      <w:r w:rsidR="00043729">
        <w:rPr>
          <w:sz w:val="28"/>
          <w:lang w:val="uk-UA"/>
        </w:rPr>
        <w:t>2</w:t>
      </w:r>
      <w:r w:rsidR="00D76F68">
        <w:rPr>
          <w:sz w:val="28"/>
          <w:lang w:val="uk-UA"/>
        </w:rPr>
        <w:t>]</w:t>
      </w:r>
      <w:r w:rsidR="00E6239F">
        <w:rPr>
          <w:sz w:val="28"/>
          <w:lang w:val="uk-UA"/>
        </w:rPr>
        <w:t>.</w:t>
      </w:r>
    </w:p>
    <w:p w:rsidR="009A3495" w:rsidRDefault="009A3495" w:rsidP="000704D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  <w:lang w:val="uk-UA" w:eastAsia="en-US"/>
        </w:rPr>
      </w:pPr>
      <w:r w:rsidRPr="009A3495">
        <w:rPr>
          <w:bCs/>
          <w:noProof/>
          <w:sz w:val="28"/>
          <w:szCs w:val="28"/>
        </w:rPr>
        <w:drawing>
          <wp:inline distT="0" distB="0" distL="0" distR="0">
            <wp:extent cx="6152515" cy="2943225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9A3495" w:rsidRDefault="00922EE1" w:rsidP="00E30271">
      <w:pPr>
        <w:autoSpaceDE w:val="0"/>
        <w:autoSpaceDN w:val="0"/>
        <w:adjustRightInd w:val="0"/>
        <w:spacing w:line="360" w:lineRule="auto"/>
        <w:ind w:firstLine="567"/>
        <w:jc w:val="center"/>
        <w:rPr>
          <w:bCs/>
          <w:sz w:val="28"/>
          <w:szCs w:val="28"/>
          <w:lang w:val="uk-UA" w:eastAsia="en-US"/>
        </w:rPr>
      </w:pPr>
      <w:r>
        <w:rPr>
          <w:sz w:val="28"/>
          <w:lang w:val="uk-UA"/>
        </w:rPr>
        <w:t xml:space="preserve">Рисунок 1 </w:t>
      </w:r>
      <w:r w:rsidR="00C8783B">
        <w:rPr>
          <w:sz w:val="28"/>
          <w:lang w:val="uk-UA"/>
        </w:rPr>
        <w:t>−</w:t>
      </w:r>
      <w:r>
        <w:rPr>
          <w:sz w:val="28"/>
          <w:lang w:val="uk-UA"/>
        </w:rPr>
        <w:t xml:space="preserve"> Динаміка зайнятого населення у віці більше 65 років в країнах СНД та ЄС в 2011 році</w:t>
      </w:r>
      <w:r w:rsidR="00464592">
        <w:rPr>
          <w:sz w:val="28"/>
          <w:lang w:val="uk-UA"/>
        </w:rPr>
        <w:t>,%</w:t>
      </w:r>
    </w:p>
    <w:p w:rsidR="001939B9" w:rsidRDefault="00C8783B" w:rsidP="00E6239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 рисунку 1 видно, що в </w:t>
      </w:r>
      <w:r w:rsidR="00E6239F">
        <w:rPr>
          <w:sz w:val="28"/>
          <w:lang w:val="uk-UA"/>
        </w:rPr>
        <w:t>Україні рівень</w:t>
      </w:r>
      <w:r>
        <w:rPr>
          <w:sz w:val="28"/>
          <w:lang w:val="uk-UA"/>
        </w:rPr>
        <w:t xml:space="preserve"> зайнятості населення в 2011 році становив 21,7%, тоді як в Грузії – 45,6%, а в європейських країнах всього лише 6,2%, у тому числі в країнах Західної Європи – 3,7%</w:t>
      </w:r>
      <w:r w:rsidR="00E6239F">
        <w:rPr>
          <w:sz w:val="28"/>
          <w:lang w:val="uk-UA"/>
        </w:rPr>
        <w:t xml:space="preserve">. </w:t>
      </w:r>
      <w:r>
        <w:rPr>
          <w:sz w:val="28"/>
          <w:lang w:val="uk-UA"/>
        </w:rPr>
        <w:t xml:space="preserve">Порівняно з країнами Західної Європи, в нашій країні рівень зайнятості осіб старше 65 років вищий в </w:t>
      </w:r>
      <w:r w:rsidR="001939B9">
        <w:rPr>
          <w:sz w:val="28"/>
          <w:lang w:val="uk-UA"/>
        </w:rPr>
        <w:t xml:space="preserve">5,9 рази. Але в цих країнах рівень економічного добробуту, у тому числі осіб похилого віку набагато вищий. </w:t>
      </w:r>
      <w:r w:rsidR="00E6239F">
        <w:rPr>
          <w:sz w:val="28"/>
          <w:lang w:val="uk-UA"/>
        </w:rPr>
        <w:t>Тому освіта дорослих осіб, а особливо осіб третього віку м</w:t>
      </w:r>
      <w:r w:rsidR="001939B9">
        <w:rPr>
          <w:sz w:val="28"/>
          <w:lang w:val="uk-UA"/>
        </w:rPr>
        <w:t>ає розглядатись в Україні, по-перше, як засіб підвищення освітнього рівня; по-друге, як механізм підвищення рівня економічної активності населення, у тому числі з позиції передачі свого виробничого досвіду молодшим поколінням.</w:t>
      </w:r>
      <w:r w:rsidR="00660301">
        <w:rPr>
          <w:sz w:val="28"/>
          <w:lang w:val="uk-UA"/>
        </w:rPr>
        <w:t xml:space="preserve"> Передача своїх знань, досвіду здатні </w:t>
      </w:r>
      <w:r w:rsidR="004E6769">
        <w:rPr>
          <w:sz w:val="28"/>
          <w:lang w:val="uk-UA"/>
        </w:rPr>
        <w:t xml:space="preserve">сформувати у молодого покоління працівників підприємств необхідні компетенції, а це неминуче призведе до підвищення продуктивності праці, заробітної плати, загального добробуту кожного працівника, а також зменшить рівень виробничого травматизму та соціальних конфліктів. </w:t>
      </w:r>
    </w:p>
    <w:p w:rsidR="005A4940" w:rsidRPr="00C31970" w:rsidRDefault="005A4940" w:rsidP="008F3ED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  <w:lang w:val="uk-UA" w:eastAsia="en-US"/>
        </w:rPr>
      </w:pPr>
      <w:r w:rsidRPr="00C31970">
        <w:rPr>
          <w:bCs/>
          <w:sz w:val="28"/>
          <w:szCs w:val="28"/>
          <w:lang w:val="uk-UA" w:eastAsia="en-US"/>
        </w:rPr>
        <w:lastRenderedPageBreak/>
        <w:t>Відповідно до реалізації Мадридського плану дій по проблемам старіння населення урядів регіонів Європейської економічної Комісії ООН передбачено виконувати зобов’язання щодо сприяння неперервному навчанню і пристосуванню системи освіти до соціально-економічних і демографічних змін.</w:t>
      </w:r>
      <w:r w:rsidR="00BB31D9">
        <w:rPr>
          <w:bCs/>
          <w:sz w:val="28"/>
          <w:szCs w:val="28"/>
          <w:lang w:val="uk-UA" w:eastAsia="en-US"/>
        </w:rPr>
        <w:t xml:space="preserve"> Сучасні демографічні зміни в Україні призведуть</w:t>
      </w:r>
      <w:r w:rsidRPr="00C31970">
        <w:rPr>
          <w:bCs/>
          <w:sz w:val="28"/>
          <w:szCs w:val="28"/>
          <w:lang w:val="uk-UA" w:eastAsia="en-US"/>
        </w:rPr>
        <w:t xml:space="preserve"> до подальшого постаріння і скорочення чисельності</w:t>
      </w:r>
      <w:r w:rsidR="00BB31D9">
        <w:rPr>
          <w:bCs/>
          <w:sz w:val="28"/>
          <w:szCs w:val="28"/>
          <w:lang w:val="uk-UA" w:eastAsia="en-US"/>
        </w:rPr>
        <w:t xml:space="preserve"> населення</w:t>
      </w:r>
      <w:r w:rsidRPr="00C31970">
        <w:rPr>
          <w:bCs/>
          <w:sz w:val="28"/>
          <w:szCs w:val="28"/>
          <w:lang w:val="uk-UA" w:eastAsia="en-US"/>
        </w:rPr>
        <w:t>. Для компенсації втрат людського і трудового потенціалу,</w:t>
      </w:r>
      <w:r w:rsidR="00BB31D9">
        <w:rPr>
          <w:bCs/>
          <w:sz w:val="28"/>
          <w:szCs w:val="28"/>
          <w:lang w:val="uk-UA" w:eastAsia="en-US"/>
        </w:rPr>
        <w:t xml:space="preserve"> на думку Е. </w:t>
      </w:r>
      <w:proofErr w:type="spellStart"/>
      <w:r w:rsidR="00BB31D9">
        <w:rPr>
          <w:bCs/>
          <w:sz w:val="28"/>
          <w:szCs w:val="28"/>
          <w:lang w:val="uk-UA" w:eastAsia="en-US"/>
        </w:rPr>
        <w:t>Лібанової</w:t>
      </w:r>
      <w:proofErr w:type="spellEnd"/>
      <w:r w:rsidR="00043729">
        <w:rPr>
          <w:bCs/>
          <w:sz w:val="28"/>
          <w:szCs w:val="28"/>
          <w:lang w:val="uk-UA" w:eastAsia="en-US"/>
        </w:rPr>
        <w:t xml:space="preserve"> [2]</w:t>
      </w:r>
      <w:r w:rsidR="00BB31D9">
        <w:rPr>
          <w:bCs/>
          <w:sz w:val="28"/>
          <w:szCs w:val="28"/>
          <w:lang w:val="uk-UA" w:eastAsia="en-US"/>
        </w:rPr>
        <w:t>,</w:t>
      </w:r>
      <w:r w:rsidRPr="00C31970">
        <w:rPr>
          <w:bCs/>
          <w:sz w:val="28"/>
          <w:szCs w:val="28"/>
          <w:lang w:val="uk-UA" w:eastAsia="en-US"/>
        </w:rPr>
        <w:t xml:space="preserve"> необхідно покращувати якісний склад популяції – головним чином шляхом підвищення рівня освіти і кваліфікації, покращення стану здоров’я тощо.</w:t>
      </w:r>
    </w:p>
    <w:p w:rsidR="008850CA" w:rsidRPr="00C31970" w:rsidRDefault="005A4940" w:rsidP="00BB31D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C31970">
        <w:rPr>
          <w:sz w:val="28"/>
          <w:szCs w:val="28"/>
          <w:lang w:val="uk-UA"/>
        </w:rPr>
        <w:t>За даними прогнозів ООН та вітчизняних наукових установ щодо очікуваних змін в складі майбутньої робочої сили, через старіння населення, існують імовірні сценарії погіршення роботи інститутів, які забезпечують економічну безпеку для суспільства, у тому числі в сфері охорони здоров’я, виплата соціальної допомоги, пенсійне забезпечення, освіта тощо.</w:t>
      </w:r>
      <w:r w:rsidR="00BB31D9">
        <w:rPr>
          <w:sz w:val="28"/>
          <w:szCs w:val="28"/>
          <w:lang w:val="uk-UA"/>
        </w:rPr>
        <w:t xml:space="preserve"> Отже, завданням освіти впродовж життя в Україні має стати оновлення </w:t>
      </w:r>
      <w:r w:rsidRPr="00C31970">
        <w:rPr>
          <w:sz w:val="28"/>
          <w:szCs w:val="28"/>
          <w:lang w:val="uk-UA"/>
        </w:rPr>
        <w:t xml:space="preserve"> загальн</w:t>
      </w:r>
      <w:r w:rsidR="00DE7D20">
        <w:rPr>
          <w:sz w:val="28"/>
          <w:szCs w:val="28"/>
          <w:lang w:val="uk-UA"/>
        </w:rPr>
        <w:t>их знань дорослого</w:t>
      </w:r>
      <w:r w:rsidR="00BB31D9">
        <w:rPr>
          <w:sz w:val="28"/>
          <w:szCs w:val="28"/>
          <w:lang w:val="uk-UA"/>
        </w:rPr>
        <w:t xml:space="preserve"> населення</w:t>
      </w:r>
      <w:r w:rsidRPr="00C31970">
        <w:rPr>
          <w:sz w:val="28"/>
          <w:szCs w:val="28"/>
          <w:lang w:val="uk-UA"/>
        </w:rPr>
        <w:t xml:space="preserve"> та </w:t>
      </w:r>
      <w:r w:rsidR="00BB31D9">
        <w:rPr>
          <w:sz w:val="28"/>
          <w:szCs w:val="28"/>
          <w:lang w:val="uk-UA"/>
        </w:rPr>
        <w:t xml:space="preserve"> пошук </w:t>
      </w:r>
      <w:r w:rsidRPr="00C31970">
        <w:rPr>
          <w:sz w:val="28"/>
          <w:szCs w:val="28"/>
          <w:lang w:val="uk-UA"/>
        </w:rPr>
        <w:t xml:space="preserve">можливості для </w:t>
      </w:r>
      <w:r w:rsidR="00BB31D9">
        <w:rPr>
          <w:sz w:val="28"/>
          <w:szCs w:val="28"/>
          <w:lang w:val="uk-UA"/>
        </w:rPr>
        <w:t>їх соціальної взаємодії і</w:t>
      </w:r>
      <w:r w:rsidRPr="00C31970">
        <w:rPr>
          <w:sz w:val="28"/>
          <w:szCs w:val="28"/>
          <w:lang w:val="uk-UA"/>
        </w:rPr>
        <w:t xml:space="preserve"> інтеграції</w:t>
      </w:r>
      <w:r w:rsidR="00BB31D9">
        <w:rPr>
          <w:sz w:val="28"/>
          <w:szCs w:val="28"/>
          <w:lang w:val="uk-UA"/>
        </w:rPr>
        <w:t xml:space="preserve"> в економічне активне життя.</w:t>
      </w:r>
      <w:r w:rsidRPr="00C31970">
        <w:rPr>
          <w:sz w:val="28"/>
          <w:szCs w:val="28"/>
          <w:lang w:val="uk-UA"/>
        </w:rPr>
        <w:t xml:space="preserve"> </w:t>
      </w:r>
    </w:p>
    <w:p w:rsidR="005A4940" w:rsidRDefault="00BB31D9" w:rsidP="008F3ED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Таким чином, </w:t>
      </w:r>
      <w:r w:rsidR="005A4940" w:rsidRPr="00C31970">
        <w:rPr>
          <w:sz w:val="28"/>
          <w:szCs w:val="28"/>
          <w:lang w:val="uk-UA" w:eastAsia="en-US"/>
        </w:rPr>
        <w:t xml:space="preserve"> на нашу думку, </w:t>
      </w:r>
      <w:r w:rsidR="00873470">
        <w:rPr>
          <w:sz w:val="28"/>
          <w:szCs w:val="28"/>
          <w:lang w:val="uk-UA" w:eastAsia="en-US"/>
        </w:rPr>
        <w:t xml:space="preserve">нині </w:t>
      </w:r>
      <w:r w:rsidR="005A4940" w:rsidRPr="00C31970">
        <w:rPr>
          <w:sz w:val="28"/>
          <w:szCs w:val="28"/>
          <w:lang w:val="uk-UA" w:eastAsia="en-US"/>
        </w:rPr>
        <w:t xml:space="preserve">необхідно переходити з існуючої </w:t>
      </w:r>
      <w:r w:rsidR="00873470">
        <w:rPr>
          <w:sz w:val="28"/>
          <w:szCs w:val="28"/>
          <w:lang w:val="uk-UA" w:eastAsia="en-US"/>
        </w:rPr>
        <w:t xml:space="preserve">освітньої </w:t>
      </w:r>
      <w:r w:rsidR="005A4940" w:rsidRPr="00C31970">
        <w:rPr>
          <w:sz w:val="28"/>
          <w:szCs w:val="28"/>
          <w:lang w:val="uk-UA" w:eastAsia="en-US"/>
        </w:rPr>
        <w:t>концепції</w:t>
      </w:r>
      <w:r w:rsidR="00F01615">
        <w:rPr>
          <w:sz w:val="28"/>
          <w:szCs w:val="28"/>
          <w:lang w:val="uk-UA" w:eastAsia="en-US"/>
        </w:rPr>
        <w:t>,</w:t>
      </w:r>
      <w:r w:rsidR="005A4940" w:rsidRPr="00C31970">
        <w:rPr>
          <w:sz w:val="28"/>
          <w:szCs w:val="28"/>
          <w:lang w:val="uk-UA" w:eastAsia="en-US"/>
        </w:rPr>
        <w:t xml:space="preserve"> яка існує в Україні «Навчання – робота – пенсія» до концепції безперервного навчання «Навчання – робота – навчання – вихід на пенсію – навчання».</w:t>
      </w:r>
      <w:r w:rsidR="00EE6640">
        <w:rPr>
          <w:sz w:val="28"/>
          <w:szCs w:val="28"/>
          <w:lang w:val="uk-UA" w:eastAsia="en-US"/>
        </w:rPr>
        <w:t xml:space="preserve"> Це дасть змогу послабити ряд гострих соціально-економічних та демографічних проблем, у тому числі на ринку праці та може бути як фактор розвитку економічного потенціалу України.</w:t>
      </w:r>
    </w:p>
    <w:p w:rsidR="00E30271" w:rsidRPr="00E30271" w:rsidRDefault="00E30271" w:rsidP="00E30271">
      <w:pPr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  <w:lang w:val="uk-UA" w:eastAsia="en-US"/>
        </w:rPr>
      </w:pPr>
      <w:r w:rsidRPr="00E30271">
        <w:rPr>
          <w:b/>
          <w:sz w:val="28"/>
          <w:szCs w:val="28"/>
          <w:lang w:val="uk-UA" w:eastAsia="en-US"/>
        </w:rPr>
        <w:t>Література</w:t>
      </w:r>
    </w:p>
    <w:p w:rsidR="005A4940" w:rsidRPr="00C31970" w:rsidRDefault="005A4940" w:rsidP="008F3ED3">
      <w:pPr>
        <w:pStyle w:val="Default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  <w:lang w:val="uk-UA"/>
        </w:rPr>
      </w:pPr>
      <w:r w:rsidRPr="00C31970">
        <w:rPr>
          <w:bCs/>
          <w:sz w:val="28"/>
          <w:szCs w:val="28"/>
          <w:lang w:val="uk-UA"/>
        </w:rPr>
        <w:t xml:space="preserve">Центри Освіти Дорослих. Освіта як суспільна відповідальність </w:t>
      </w:r>
      <w:r w:rsidRPr="00C31970">
        <w:rPr>
          <w:sz w:val="28"/>
          <w:szCs w:val="28"/>
          <w:lang w:val="uk-UA"/>
        </w:rPr>
        <w:t xml:space="preserve">[Електронний ресурс]. – Режим доступу: </w:t>
      </w:r>
      <w:proofErr w:type="spellStart"/>
      <w:r w:rsidRPr="00C31970">
        <w:rPr>
          <w:sz w:val="28"/>
          <w:szCs w:val="28"/>
          <w:lang w:val="uk-UA"/>
        </w:rPr>
        <w:t>http</w:t>
      </w:r>
      <w:proofErr w:type="spellEnd"/>
      <w:r w:rsidRPr="00C31970">
        <w:rPr>
          <w:sz w:val="28"/>
          <w:szCs w:val="28"/>
          <w:lang w:val="uk-UA"/>
        </w:rPr>
        <w:t xml:space="preserve">// </w:t>
      </w:r>
      <w:hyperlink r:id="rId6" w:history="1">
        <w:r w:rsidRPr="00C31970">
          <w:rPr>
            <w:rStyle w:val="a8"/>
            <w:sz w:val="28"/>
            <w:szCs w:val="28"/>
            <w:lang w:val="uk-UA"/>
          </w:rPr>
          <w:t>www.dvv-international.org.ua</w:t>
        </w:r>
      </w:hyperlink>
      <w:r w:rsidRPr="00C31970">
        <w:rPr>
          <w:sz w:val="28"/>
          <w:szCs w:val="28"/>
          <w:lang w:val="uk-UA"/>
        </w:rPr>
        <w:t>.</w:t>
      </w:r>
    </w:p>
    <w:p w:rsidR="00983B81" w:rsidRDefault="00043729" w:rsidP="008F3ED3">
      <w:pPr>
        <w:pStyle w:val="Default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  <w:lang w:val="uk-UA"/>
        </w:rPr>
      </w:pPr>
      <w:r w:rsidRPr="00983B81">
        <w:rPr>
          <w:sz w:val="28"/>
          <w:szCs w:val="28"/>
          <w:lang w:val="uk-UA"/>
        </w:rPr>
        <w:t>Соціально-демографічні зрушення: чинники та перспективи</w:t>
      </w:r>
      <w:r w:rsidR="005A4940" w:rsidRPr="00983B81">
        <w:rPr>
          <w:sz w:val="28"/>
          <w:szCs w:val="28"/>
          <w:lang w:val="uk-UA"/>
        </w:rPr>
        <w:t>. – Інститут демографії та соціальних досліджень</w:t>
      </w:r>
      <w:r w:rsidR="003A51C3" w:rsidRPr="00983B81">
        <w:rPr>
          <w:sz w:val="28"/>
          <w:szCs w:val="28"/>
          <w:lang w:val="uk-UA"/>
        </w:rPr>
        <w:t xml:space="preserve"> ім. М. В. </w:t>
      </w:r>
      <w:proofErr w:type="spellStart"/>
      <w:r w:rsidR="003A51C3" w:rsidRPr="00983B81">
        <w:rPr>
          <w:sz w:val="28"/>
          <w:szCs w:val="28"/>
          <w:lang w:val="uk-UA"/>
        </w:rPr>
        <w:t>Птухи</w:t>
      </w:r>
      <w:proofErr w:type="spellEnd"/>
      <w:r w:rsidR="005A4940" w:rsidRPr="00983B81">
        <w:rPr>
          <w:sz w:val="28"/>
          <w:szCs w:val="28"/>
          <w:lang w:val="uk-UA"/>
        </w:rPr>
        <w:t xml:space="preserve"> НАН України [Електронний ресурс]. – Режим доступу: </w:t>
      </w:r>
      <w:proofErr w:type="spellStart"/>
      <w:r w:rsidR="005A4940" w:rsidRPr="00983B81">
        <w:rPr>
          <w:sz w:val="28"/>
          <w:szCs w:val="28"/>
          <w:lang w:val="uk-UA"/>
        </w:rPr>
        <w:t>http</w:t>
      </w:r>
      <w:proofErr w:type="spellEnd"/>
      <w:r w:rsidR="005A4940" w:rsidRPr="00983B81">
        <w:rPr>
          <w:sz w:val="28"/>
          <w:szCs w:val="28"/>
          <w:lang w:val="uk-UA"/>
        </w:rPr>
        <w:t xml:space="preserve">// </w:t>
      </w:r>
      <w:hyperlink r:id="rId7" w:history="1">
        <w:proofErr w:type="spellStart"/>
        <w:r w:rsidR="00983B81" w:rsidRPr="00BA7C97">
          <w:rPr>
            <w:rStyle w:val="a8"/>
            <w:sz w:val="28"/>
            <w:szCs w:val="28"/>
            <w:lang w:val="uk-UA"/>
          </w:rPr>
          <w:t>www.idss.org.ua</w:t>
        </w:r>
        <w:proofErr w:type="spellEnd"/>
      </w:hyperlink>
      <w:r w:rsidR="005A4940" w:rsidRPr="00983B81">
        <w:rPr>
          <w:sz w:val="28"/>
          <w:szCs w:val="28"/>
          <w:lang w:val="uk-UA"/>
        </w:rPr>
        <w:t>.</w:t>
      </w:r>
    </w:p>
    <w:sectPr w:rsidR="00983B81" w:rsidSect="0027170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eterburg">
    <w:altName w:val="Times New Roman"/>
    <w:panose1 w:val="020B0604020202020204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269CA"/>
    <w:multiLevelType w:val="hybridMultilevel"/>
    <w:tmpl w:val="2CF08374"/>
    <w:lvl w:ilvl="0" w:tplc="DC567A82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1AC7CA6"/>
    <w:multiLevelType w:val="hybridMultilevel"/>
    <w:tmpl w:val="50F8C25A"/>
    <w:lvl w:ilvl="0" w:tplc="76AE87E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02046B"/>
    <w:multiLevelType w:val="hybridMultilevel"/>
    <w:tmpl w:val="42AC0E00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">
    <w:nsid w:val="47B64A27"/>
    <w:multiLevelType w:val="hybridMultilevel"/>
    <w:tmpl w:val="1D886638"/>
    <w:lvl w:ilvl="0" w:tplc="0419000F">
      <w:start w:val="1"/>
      <w:numFmt w:val="decimal"/>
      <w:lvlText w:val="%1."/>
      <w:lvlJc w:val="left"/>
      <w:pPr>
        <w:ind w:left="799" w:hanging="360"/>
      </w:pPr>
    </w:lvl>
    <w:lvl w:ilvl="1" w:tplc="04190019" w:tentative="1">
      <w:start w:val="1"/>
      <w:numFmt w:val="lowerLetter"/>
      <w:lvlText w:val="%2."/>
      <w:lvlJc w:val="left"/>
      <w:pPr>
        <w:ind w:left="1519" w:hanging="360"/>
      </w:pPr>
    </w:lvl>
    <w:lvl w:ilvl="2" w:tplc="0419001B" w:tentative="1">
      <w:start w:val="1"/>
      <w:numFmt w:val="lowerRoman"/>
      <w:lvlText w:val="%3."/>
      <w:lvlJc w:val="right"/>
      <w:pPr>
        <w:ind w:left="2239" w:hanging="180"/>
      </w:pPr>
    </w:lvl>
    <w:lvl w:ilvl="3" w:tplc="0419000F" w:tentative="1">
      <w:start w:val="1"/>
      <w:numFmt w:val="decimal"/>
      <w:lvlText w:val="%4."/>
      <w:lvlJc w:val="left"/>
      <w:pPr>
        <w:ind w:left="2959" w:hanging="360"/>
      </w:pPr>
    </w:lvl>
    <w:lvl w:ilvl="4" w:tplc="04190019" w:tentative="1">
      <w:start w:val="1"/>
      <w:numFmt w:val="lowerLetter"/>
      <w:lvlText w:val="%5."/>
      <w:lvlJc w:val="left"/>
      <w:pPr>
        <w:ind w:left="3679" w:hanging="360"/>
      </w:pPr>
    </w:lvl>
    <w:lvl w:ilvl="5" w:tplc="0419001B" w:tentative="1">
      <w:start w:val="1"/>
      <w:numFmt w:val="lowerRoman"/>
      <w:lvlText w:val="%6."/>
      <w:lvlJc w:val="right"/>
      <w:pPr>
        <w:ind w:left="4399" w:hanging="180"/>
      </w:pPr>
    </w:lvl>
    <w:lvl w:ilvl="6" w:tplc="0419000F" w:tentative="1">
      <w:start w:val="1"/>
      <w:numFmt w:val="decimal"/>
      <w:lvlText w:val="%7."/>
      <w:lvlJc w:val="left"/>
      <w:pPr>
        <w:ind w:left="5119" w:hanging="360"/>
      </w:pPr>
    </w:lvl>
    <w:lvl w:ilvl="7" w:tplc="04190019" w:tentative="1">
      <w:start w:val="1"/>
      <w:numFmt w:val="lowerLetter"/>
      <w:lvlText w:val="%8."/>
      <w:lvlJc w:val="left"/>
      <w:pPr>
        <w:ind w:left="5839" w:hanging="360"/>
      </w:pPr>
    </w:lvl>
    <w:lvl w:ilvl="8" w:tplc="0419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4">
    <w:nsid w:val="72A15B9E"/>
    <w:multiLevelType w:val="hybridMultilevel"/>
    <w:tmpl w:val="EC645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4940"/>
    <w:rsid w:val="000305BA"/>
    <w:rsid w:val="00042422"/>
    <w:rsid w:val="00043729"/>
    <w:rsid w:val="00060ADC"/>
    <w:rsid w:val="000626B3"/>
    <w:rsid w:val="000704DD"/>
    <w:rsid w:val="00070BD8"/>
    <w:rsid w:val="000E6032"/>
    <w:rsid w:val="00130ACE"/>
    <w:rsid w:val="00144D89"/>
    <w:rsid w:val="0016593F"/>
    <w:rsid w:val="001939B9"/>
    <w:rsid w:val="00195BE2"/>
    <w:rsid w:val="00271706"/>
    <w:rsid w:val="002B4D77"/>
    <w:rsid w:val="002E2467"/>
    <w:rsid w:val="003A0EB6"/>
    <w:rsid w:val="003A51C3"/>
    <w:rsid w:val="004156A8"/>
    <w:rsid w:val="0042768E"/>
    <w:rsid w:val="004439BD"/>
    <w:rsid w:val="00464592"/>
    <w:rsid w:val="00482EED"/>
    <w:rsid w:val="004B11F9"/>
    <w:rsid w:val="004C5533"/>
    <w:rsid w:val="004D6DA5"/>
    <w:rsid w:val="004E16EB"/>
    <w:rsid w:val="004E6769"/>
    <w:rsid w:val="004F050A"/>
    <w:rsid w:val="005974D2"/>
    <w:rsid w:val="005A4940"/>
    <w:rsid w:val="005A7B7D"/>
    <w:rsid w:val="005A7CE6"/>
    <w:rsid w:val="006336B0"/>
    <w:rsid w:val="00660301"/>
    <w:rsid w:val="00682DAC"/>
    <w:rsid w:val="00686B10"/>
    <w:rsid w:val="00723D89"/>
    <w:rsid w:val="00731A0E"/>
    <w:rsid w:val="007F13A4"/>
    <w:rsid w:val="00873470"/>
    <w:rsid w:val="008850CA"/>
    <w:rsid w:val="008C5554"/>
    <w:rsid w:val="008F3ED3"/>
    <w:rsid w:val="00903656"/>
    <w:rsid w:val="00922EE1"/>
    <w:rsid w:val="00962042"/>
    <w:rsid w:val="00983B81"/>
    <w:rsid w:val="00991039"/>
    <w:rsid w:val="009A3495"/>
    <w:rsid w:val="009D74F8"/>
    <w:rsid w:val="009E0C05"/>
    <w:rsid w:val="009F413A"/>
    <w:rsid w:val="009F7BB8"/>
    <w:rsid w:val="00A11AB5"/>
    <w:rsid w:val="00A229A2"/>
    <w:rsid w:val="00AE1A03"/>
    <w:rsid w:val="00B63514"/>
    <w:rsid w:val="00B63C1C"/>
    <w:rsid w:val="00B97C4F"/>
    <w:rsid w:val="00BB31D9"/>
    <w:rsid w:val="00C16682"/>
    <w:rsid w:val="00C31970"/>
    <w:rsid w:val="00C718F5"/>
    <w:rsid w:val="00C77A07"/>
    <w:rsid w:val="00C838EA"/>
    <w:rsid w:val="00C8783B"/>
    <w:rsid w:val="00CC2310"/>
    <w:rsid w:val="00CF7CF2"/>
    <w:rsid w:val="00D32BA2"/>
    <w:rsid w:val="00D76F68"/>
    <w:rsid w:val="00D97239"/>
    <w:rsid w:val="00DE7D20"/>
    <w:rsid w:val="00DF16EF"/>
    <w:rsid w:val="00E01AE3"/>
    <w:rsid w:val="00E30271"/>
    <w:rsid w:val="00E6239F"/>
    <w:rsid w:val="00E657F2"/>
    <w:rsid w:val="00E809F9"/>
    <w:rsid w:val="00E913B3"/>
    <w:rsid w:val="00EE6640"/>
    <w:rsid w:val="00F01615"/>
    <w:rsid w:val="00F21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940"/>
    <w:pPr>
      <w:spacing w:after="0" w:line="240" w:lineRule="auto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1A0E"/>
    <w:pPr>
      <w:keepNext/>
      <w:spacing w:line="360" w:lineRule="auto"/>
      <w:ind w:firstLine="567"/>
      <w:jc w:val="both"/>
      <w:outlineLvl w:val="0"/>
    </w:pPr>
    <w:rPr>
      <w:rFonts w:eastAsia="Times New Roman"/>
      <w:b/>
      <w:sz w:val="3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731A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1A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B63514"/>
    <w:pPr>
      <w:keepNext/>
      <w:spacing w:before="120" w:after="120" w:line="320" w:lineRule="atLeast"/>
      <w:jc w:val="center"/>
      <w:outlineLvl w:val="3"/>
    </w:pPr>
    <w:rPr>
      <w:rFonts w:ascii="Peterburg" w:eastAsia="Calibri" w:hAnsi="Peterburg"/>
      <w:b/>
      <w:sz w:val="28"/>
      <w:szCs w:val="20"/>
      <w:lang w:val="uk-UA" w:eastAsia="en-US"/>
    </w:rPr>
  </w:style>
  <w:style w:type="paragraph" w:styleId="5">
    <w:name w:val="heading 5"/>
    <w:basedOn w:val="a"/>
    <w:next w:val="a"/>
    <w:link w:val="50"/>
    <w:qFormat/>
    <w:rsid w:val="00731A0E"/>
    <w:pPr>
      <w:keepNext/>
      <w:jc w:val="center"/>
      <w:outlineLvl w:val="4"/>
    </w:pPr>
    <w:rPr>
      <w:rFonts w:eastAsia="Times New Roman"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1A0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31A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1A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31A0E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3">
    <w:name w:val="Title"/>
    <w:basedOn w:val="a"/>
    <w:link w:val="a4"/>
    <w:qFormat/>
    <w:rsid w:val="00731A0E"/>
    <w:pPr>
      <w:jc w:val="center"/>
    </w:pPr>
    <w:rPr>
      <w:rFonts w:eastAsia="Times New Roman"/>
      <w:b/>
      <w:bCs/>
      <w:lang w:val="uk-UA"/>
    </w:rPr>
  </w:style>
  <w:style w:type="character" w:customStyle="1" w:styleId="a4">
    <w:name w:val="Название Знак"/>
    <w:basedOn w:val="a0"/>
    <w:link w:val="a3"/>
    <w:rsid w:val="00731A0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styleId="a5">
    <w:name w:val="Strong"/>
    <w:basedOn w:val="a0"/>
    <w:uiPriority w:val="22"/>
    <w:qFormat/>
    <w:rsid w:val="00731A0E"/>
    <w:rPr>
      <w:b/>
      <w:bCs/>
    </w:rPr>
  </w:style>
  <w:style w:type="character" w:styleId="a6">
    <w:name w:val="Emphasis"/>
    <w:basedOn w:val="a0"/>
    <w:uiPriority w:val="20"/>
    <w:qFormat/>
    <w:rsid w:val="00731A0E"/>
    <w:rPr>
      <w:i/>
      <w:iCs/>
    </w:rPr>
  </w:style>
  <w:style w:type="paragraph" w:styleId="a7">
    <w:name w:val="List Paragraph"/>
    <w:basedOn w:val="a"/>
    <w:uiPriority w:val="34"/>
    <w:qFormat/>
    <w:rsid w:val="00731A0E"/>
    <w:pPr>
      <w:ind w:left="720"/>
      <w:contextualSpacing/>
    </w:pPr>
    <w:rPr>
      <w:rFonts w:eastAsia="Times New Roman"/>
    </w:rPr>
  </w:style>
  <w:style w:type="character" w:styleId="a8">
    <w:name w:val="Hyperlink"/>
    <w:basedOn w:val="a0"/>
    <w:uiPriority w:val="99"/>
    <w:unhideWhenUsed/>
    <w:rsid w:val="005A4940"/>
    <w:rPr>
      <w:color w:val="0000FF" w:themeColor="hyperlink"/>
      <w:u w:val="single"/>
    </w:rPr>
  </w:style>
  <w:style w:type="paragraph" w:customStyle="1" w:styleId="Default">
    <w:name w:val="Default"/>
    <w:rsid w:val="005A4940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table" w:styleId="a9">
    <w:name w:val="Table Grid"/>
    <w:basedOn w:val="a1"/>
    <w:uiPriority w:val="59"/>
    <w:rsid w:val="005A49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5A494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A4940"/>
    <w:rPr>
      <w:rFonts w:ascii="Tahoma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B63514"/>
    <w:rPr>
      <w:rFonts w:ascii="Peterburg" w:eastAsia="Calibri" w:hAnsi="Peterburg"/>
      <w:b/>
      <w:sz w:val="28"/>
      <w:szCs w:val="20"/>
      <w:lang w:val="uk-UA"/>
    </w:rPr>
  </w:style>
  <w:style w:type="paragraph" w:customStyle="1" w:styleId="ac">
    <w:name w:val="Форм. з номером"/>
    <w:basedOn w:val="a"/>
    <w:qFormat/>
    <w:rsid w:val="00B63514"/>
    <w:pPr>
      <w:widowControl w:val="0"/>
      <w:tabs>
        <w:tab w:val="center" w:pos="4678"/>
        <w:tab w:val="right" w:pos="9356"/>
      </w:tabs>
      <w:spacing w:before="80" w:after="80" w:line="320" w:lineRule="atLeast"/>
      <w:ind w:firstLine="284"/>
    </w:pPr>
    <w:rPr>
      <w:rFonts w:ascii="Peterburg" w:eastAsia="Calibri" w:hAnsi="Peterburg"/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9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dss.org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vv-international.org.ua" TargetMode="Externa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Загальна</c:v>
                </c:pt>
              </c:strCache>
            </c:strRef>
          </c:tx>
          <c:cat>
            <c:strRef>
              <c:f>Sheet1!$A$2:$A$13</c:f>
              <c:strCache>
                <c:ptCount val="12"/>
                <c:pt idx="0">
                  <c:v>Вірменія</c:v>
                </c:pt>
                <c:pt idx="1">
                  <c:v>Білорусь</c:v>
                </c:pt>
                <c:pt idx="2">
                  <c:v>Грузія</c:v>
                </c:pt>
                <c:pt idx="3">
                  <c:v>Казахстан</c:v>
                </c:pt>
                <c:pt idx="4">
                  <c:v>Молдова</c:v>
                </c:pt>
                <c:pt idx="5">
                  <c:v>Росія</c:v>
                </c:pt>
                <c:pt idx="6">
                  <c:v>Таджикистан</c:v>
                </c:pt>
                <c:pt idx="7">
                  <c:v>Туркменістан</c:v>
                </c:pt>
                <c:pt idx="8">
                  <c:v>Узбекистан</c:v>
                </c:pt>
                <c:pt idx="9">
                  <c:v>Україна</c:v>
                </c:pt>
                <c:pt idx="10">
                  <c:v>Європа</c:v>
                </c:pt>
                <c:pt idx="11">
                  <c:v>Західна Європа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24.4</c:v>
                </c:pt>
                <c:pt idx="1">
                  <c:v>3.2</c:v>
                </c:pt>
                <c:pt idx="2">
                  <c:v>45.6</c:v>
                </c:pt>
                <c:pt idx="3">
                  <c:v>9.3000000000000007</c:v>
                </c:pt>
                <c:pt idx="4">
                  <c:v>6.4</c:v>
                </c:pt>
                <c:pt idx="5">
                  <c:v>5.4</c:v>
                </c:pt>
                <c:pt idx="6">
                  <c:v>14.2</c:v>
                </c:pt>
                <c:pt idx="7">
                  <c:v>13</c:v>
                </c:pt>
                <c:pt idx="8">
                  <c:v>13.4</c:v>
                </c:pt>
                <c:pt idx="9">
                  <c:v>21.7</c:v>
                </c:pt>
                <c:pt idx="10">
                  <c:v>6.2</c:v>
                </c:pt>
                <c:pt idx="11">
                  <c:v>3.7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Чоловіки</c:v>
                </c:pt>
              </c:strCache>
            </c:strRef>
          </c:tx>
          <c:cat>
            <c:strRef>
              <c:f>Sheet1!$A$2:$A$13</c:f>
              <c:strCache>
                <c:ptCount val="12"/>
                <c:pt idx="0">
                  <c:v>Вірменія</c:v>
                </c:pt>
                <c:pt idx="1">
                  <c:v>Білорусь</c:v>
                </c:pt>
                <c:pt idx="2">
                  <c:v>Грузія</c:v>
                </c:pt>
                <c:pt idx="3">
                  <c:v>Казахстан</c:v>
                </c:pt>
                <c:pt idx="4">
                  <c:v>Молдова</c:v>
                </c:pt>
                <c:pt idx="5">
                  <c:v>Росія</c:v>
                </c:pt>
                <c:pt idx="6">
                  <c:v>Таджикистан</c:v>
                </c:pt>
                <c:pt idx="7">
                  <c:v>Туркменістан</c:v>
                </c:pt>
                <c:pt idx="8">
                  <c:v>Узбекистан</c:v>
                </c:pt>
                <c:pt idx="9">
                  <c:v>Україна</c:v>
                </c:pt>
                <c:pt idx="10">
                  <c:v>Європа</c:v>
                </c:pt>
                <c:pt idx="11">
                  <c:v>Західна Європа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18.100000000000001</c:v>
                </c:pt>
                <c:pt idx="1">
                  <c:v>2</c:v>
                </c:pt>
                <c:pt idx="2">
                  <c:v>40.6</c:v>
                </c:pt>
                <c:pt idx="3">
                  <c:v>7.8</c:v>
                </c:pt>
                <c:pt idx="4">
                  <c:v>4.2</c:v>
                </c:pt>
                <c:pt idx="5">
                  <c:v>4.0999999999999996</c:v>
                </c:pt>
                <c:pt idx="6">
                  <c:v>8.7000000000000011</c:v>
                </c:pt>
                <c:pt idx="7">
                  <c:v>7.6</c:v>
                </c:pt>
                <c:pt idx="8">
                  <c:v>7.8</c:v>
                </c:pt>
                <c:pt idx="9">
                  <c:v>20.6</c:v>
                </c:pt>
                <c:pt idx="10">
                  <c:v>4.8</c:v>
                </c:pt>
                <c:pt idx="11">
                  <c:v>2.4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Жінки</c:v>
                </c:pt>
              </c:strCache>
            </c:strRef>
          </c:tx>
          <c:cat>
            <c:strRef>
              <c:f>Sheet1!$A$2:$A$13</c:f>
              <c:strCache>
                <c:ptCount val="12"/>
                <c:pt idx="0">
                  <c:v>Вірменія</c:v>
                </c:pt>
                <c:pt idx="1">
                  <c:v>Білорусь</c:v>
                </c:pt>
                <c:pt idx="2">
                  <c:v>Грузія</c:v>
                </c:pt>
                <c:pt idx="3">
                  <c:v>Казахстан</c:v>
                </c:pt>
                <c:pt idx="4">
                  <c:v>Молдова</c:v>
                </c:pt>
                <c:pt idx="5">
                  <c:v>Росія</c:v>
                </c:pt>
                <c:pt idx="6">
                  <c:v>Таджикистан</c:v>
                </c:pt>
                <c:pt idx="7">
                  <c:v>Туркменістан</c:v>
                </c:pt>
                <c:pt idx="8">
                  <c:v>Узбекистан</c:v>
                </c:pt>
                <c:pt idx="9">
                  <c:v>Україна</c:v>
                </c:pt>
                <c:pt idx="10">
                  <c:v>Європа</c:v>
                </c:pt>
                <c:pt idx="11">
                  <c:v>Західна Європа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34.800000000000004</c:v>
                </c:pt>
                <c:pt idx="1">
                  <c:v>5.7</c:v>
                </c:pt>
                <c:pt idx="2">
                  <c:v>53.7</c:v>
                </c:pt>
                <c:pt idx="3">
                  <c:v>12.4</c:v>
                </c:pt>
                <c:pt idx="4">
                  <c:v>10.200000000000001</c:v>
                </c:pt>
                <c:pt idx="5">
                  <c:v>8.2000000000000011</c:v>
                </c:pt>
                <c:pt idx="6">
                  <c:v>21.4</c:v>
                </c:pt>
                <c:pt idx="7">
                  <c:v>21</c:v>
                </c:pt>
                <c:pt idx="8">
                  <c:v>20.8</c:v>
                </c:pt>
                <c:pt idx="9">
                  <c:v>23.9</c:v>
                </c:pt>
                <c:pt idx="10">
                  <c:v>8.4</c:v>
                </c:pt>
                <c:pt idx="11">
                  <c:v>5.4</c:v>
                </c:pt>
              </c:numCache>
            </c:numRef>
          </c:val>
        </c:ser>
        <c:axId val="50510080"/>
        <c:axId val="50536448"/>
      </c:barChart>
      <c:catAx>
        <c:axId val="50510080"/>
        <c:scaling>
          <c:orientation val="minMax"/>
        </c:scaling>
        <c:axPos val="b"/>
        <c:tickLblPos val="nextTo"/>
        <c:spPr>
          <a:solidFill>
            <a:sysClr val="window" lastClr="FFFFFF"/>
          </a:solidFill>
        </c:spPr>
        <c:txPr>
          <a:bodyPr rot="-5400000" vert="horz"/>
          <a:lstStyle/>
          <a:p>
            <a:pPr>
              <a:defRPr sz="1200">
                <a:solidFill>
                  <a:sysClr val="windowText" lastClr="000000"/>
                </a:solidFill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50536448"/>
        <c:crosses val="autoZero"/>
        <c:auto val="1"/>
        <c:lblAlgn val="ctr"/>
        <c:lblOffset val="100"/>
      </c:catAx>
      <c:valAx>
        <c:axId val="50536448"/>
        <c:scaling>
          <c:orientation val="minMax"/>
        </c:scaling>
        <c:axPos val="l"/>
        <c:majorGridlines/>
        <c:numFmt formatCode="General" sourceLinked="1"/>
        <c:tickLblPos val="nextTo"/>
        <c:spPr>
          <a:solidFill>
            <a:sysClr val="window" lastClr="FFFFFF"/>
          </a:solidFill>
        </c:spPr>
        <c:txPr>
          <a:bodyPr/>
          <a:lstStyle/>
          <a:p>
            <a:pPr>
              <a:defRPr sz="1200">
                <a:solidFill>
                  <a:sysClr val="windowText" lastClr="000000"/>
                </a:solidFill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50510080"/>
        <c:crosses val="autoZero"/>
        <c:crossBetween val="between"/>
      </c:valAx>
      <c:spPr>
        <a:noFill/>
      </c:spPr>
    </c:plotArea>
    <c:legend>
      <c:legendPos val="r"/>
      <c:spPr>
        <a:solidFill>
          <a:sysClr val="window" lastClr="FFFFFF"/>
        </a:solidFill>
      </c:spPr>
      <c:txPr>
        <a:bodyPr/>
        <a:lstStyle/>
        <a:p>
          <a:pPr>
            <a:defRPr sz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>
          <a:solidFill>
            <a:schemeClr val="bg1"/>
          </a:solidFill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2014-02-05T18:52:00Z</dcterms:created>
  <dcterms:modified xsi:type="dcterms:W3CDTF">2014-02-07T14:47:00Z</dcterms:modified>
</cp:coreProperties>
</file>