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DFE15" w14:textId="5A793A20" w:rsidR="00DE1064" w:rsidRDefault="00DE1064" w:rsidP="00051DCB">
      <w:pPr>
        <w:shd w:val="clear" w:color="auto" w:fill="FFFFFF" w:themeFill="background1"/>
        <w:spacing w:after="0" w:line="240" w:lineRule="auto"/>
        <w:rPr>
          <w:rFonts w:ascii="Times New Roman" w:hAnsi="Times New Roman" w:cs="Times New Roman"/>
          <w:b/>
          <w:bCs/>
          <w:sz w:val="20"/>
          <w:szCs w:val="20"/>
        </w:rPr>
      </w:pPr>
      <w:r>
        <w:rPr>
          <w:rFonts w:ascii="Times New Roman" w:hAnsi="Times New Roman" w:cs="Times New Roman"/>
          <w:b/>
          <w:bCs/>
          <w:sz w:val="20"/>
          <w:szCs w:val="20"/>
        </w:rPr>
        <w:t xml:space="preserve">УДК </w:t>
      </w:r>
      <w:r w:rsidRPr="00DE1064">
        <w:rPr>
          <w:rFonts w:ascii="Times New Roman" w:hAnsi="Times New Roman" w:cs="Times New Roman"/>
          <w:b/>
          <w:bCs/>
          <w:sz w:val="20"/>
          <w:szCs w:val="20"/>
        </w:rPr>
        <w:t>378.1</w:t>
      </w:r>
    </w:p>
    <w:p w14:paraId="77B7B630" w14:textId="77777777" w:rsidR="00051DCB" w:rsidRPr="00051DCB" w:rsidRDefault="00051DCB" w:rsidP="00051DCB">
      <w:pPr>
        <w:shd w:val="clear" w:color="auto" w:fill="FFFFFF" w:themeFill="background1"/>
        <w:spacing w:after="0" w:line="240" w:lineRule="auto"/>
        <w:rPr>
          <w:rFonts w:ascii="Times New Roman" w:hAnsi="Times New Roman" w:cs="Times New Roman"/>
          <w:b/>
          <w:bCs/>
          <w:sz w:val="10"/>
          <w:szCs w:val="10"/>
        </w:rPr>
      </w:pPr>
    </w:p>
    <w:p w14:paraId="71178823" w14:textId="77AE30CF" w:rsidR="00E50B3F" w:rsidRPr="00E50B3F" w:rsidRDefault="00E50B3F" w:rsidP="00051DCB">
      <w:pPr>
        <w:pStyle w:val="HTML"/>
        <w:shd w:val="clear" w:color="auto" w:fill="FFFFFF" w:themeFill="background1"/>
        <w:rPr>
          <w:rFonts w:ascii="Times New Roman" w:hAnsi="Times New Roman" w:cs="Times New Roman"/>
        </w:rPr>
      </w:pPr>
      <w:r w:rsidRPr="00E50B3F">
        <w:rPr>
          <w:rFonts w:ascii="Times New Roman" w:eastAsia="Cambria" w:hAnsi="Times New Roman" w:cs="Times New Roman"/>
          <w:b/>
          <w:bCs/>
          <w:color w:val="231F20"/>
          <w:lang w:val="en-US"/>
        </w:rPr>
        <w:t>V.V. Zianko</w:t>
      </w:r>
      <w:r w:rsidRPr="00E50B3F">
        <w:rPr>
          <w:rFonts w:ascii="Times New Roman" w:eastAsia="Cambria" w:hAnsi="Times New Roman" w:cs="Times New Roman"/>
          <w:b/>
          <w:bCs/>
          <w:caps/>
          <w:color w:val="231F20"/>
        </w:rPr>
        <w:t xml:space="preserve">, </w:t>
      </w:r>
      <w:r w:rsidRPr="00E50B3F">
        <w:rPr>
          <w:rFonts w:ascii="Times New Roman" w:eastAsiaTheme="minorHAnsi" w:hAnsi="Times New Roman" w:cs="Times New Roman"/>
          <w:lang w:val="en-US" w:eastAsia="en-US"/>
        </w:rPr>
        <w:t xml:space="preserve">doctor of economics, professor </w:t>
      </w:r>
      <w:r w:rsidRPr="00051DCB">
        <w:rPr>
          <w:rFonts w:ascii="Times New Roman" w:eastAsiaTheme="minorHAnsi" w:hAnsi="Times New Roman" w:cs="Times New Roman"/>
          <w:i/>
          <w:iCs/>
          <w:lang w:val="en-US" w:eastAsia="en-US"/>
        </w:rPr>
        <w:t xml:space="preserve">(VNTU, </w:t>
      </w:r>
      <w:r w:rsidRPr="00051DCB">
        <w:rPr>
          <w:rFonts w:ascii="Times New Roman" w:eastAsiaTheme="minorHAnsi" w:hAnsi="Times New Roman" w:cs="Times New Roman"/>
          <w:i/>
          <w:iCs/>
          <w:lang w:val="en-US" w:eastAsia="en-US"/>
        </w:rPr>
        <w:t>Vinnytsia</w:t>
      </w:r>
      <w:r w:rsidRPr="00051DCB">
        <w:rPr>
          <w:rFonts w:ascii="Times New Roman" w:eastAsiaTheme="minorHAnsi" w:hAnsi="Times New Roman" w:cs="Times New Roman"/>
          <w:i/>
          <w:iCs/>
          <w:lang w:eastAsia="en-US"/>
        </w:rPr>
        <w:t>)</w:t>
      </w:r>
    </w:p>
    <w:p w14:paraId="6995799A" w14:textId="6FD39830" w:rsidR="00E50B3F" w:rsidRPr="00E50B3F" w:rsidRDefault="00E50B3F" w:rsidP="00051DCB">
      <w:pPr>
        <w:pStyle w:val="Author"/>
        <w:shd w:val="clear" w:color="auto" w:fill="FFFFFF" w:themeFill="background1"/>
        <w:spacing w:line="240" w:lineRule="auto"/>
        <w:ind w:firstLine="0"/>
        <w:jc w:val="left"/>
        <w:rPr>
          <w:rFonts w:cs="Times New Roman"/>
          <w:sz w:val="20"/>
          <w:szCs w:val="20"/>
        </w:rPr>
      </w:pPr>
      <w:r w:rsidRPr="00E50B3F">
        <w:rPr>
          <w:rFonts w:eastAsia="Cambria" w:cs="Times New Roman"/>
          <w:b/>
          <w:bCs/>
          <w:caps w:val="0"/>
          <w:color w:val="231F20"/>
          <w:sz w:val="20"/>
          <w:szCs w:val="20"/>
          <w:lang w:val="en-US"/>
        </w:rPr>
        <w:t>T.D. Nechyporenko</w:t>
      </w:r>
      <w:r w:rsidRPr="00E50B3F">
        <w:rPr>
          <w:rFonts w:eastAsia="Cambria" w:cs="Times New Roman"/>
          <w:b/>
          <w:bCs/>
          <w:caps w:val="0"/>
          <w:color w:val="231F20"/>
          <w:sz w:val="20"/>
          <w:szCs w:val="20"/>
        </w:rPr>
        <w:t xml:space="preserve">, </w:t>
      </w:r>
      <w:r w:rsidRPr="00E50B3F">
        <w:rPr>
          <w:rFonts w:cs="Times New Roman"/>
          <w:caps w:val="0"/>
          <w:sz w:val="20"/>
          <w:szCs w:val="20"/>
          <w:lang w:val="en-US"/>
        </w:rPr>
        <w:t xml:space="preserve">PhD in economics </w:t>
      </w:r>
      <w:r w:rsidRPr="00051DCB">
        <w:rPr>
          <w:rFonts w:cs="Times New Roman"/>
          <w:i/>
          <w:iCs/>
          <w:caps w:val="0"/>
          <w:sz w:val="20"/>
          <w:szCs w:val="20"/>
        </w:rPr>
        <w:t>(</w:t>
      </w:r>
      <w:r w:rsidRPr="00051DCB">
        <w:rPr>
          <w:rFonts w:cs="Times New Roman"/>
          <w:i/>
          <w:iCs/>
          <w:sz w:val="20"/>
          <w:szCs w:val="20"/>
          <w:lang w:val="en-US"/>
        </w:rPr>
        <w:t>VTVC</w:t>
      </w:r>
      <w:r w:rsidRPr="00051DCB">
        <w:rPr>
          <w:rFonts w:cs="Times New Roman"/>
          <w:i/>
          <w:iCs/>
          <w:sz w:val="20"/>
          <w:szCs w:val="20"/>
        </w:rPr>
        <w:t>,</w:t>
      </w:r>
      <w:r w:rsidRPr="00051DCB">
        <w:rPr>
          <w:rFonts w:cs="Times New Roman"/>
          <w:i/>
          <w:iCs/>
          <w:sz w:val="20"/>
          <w:szCs w:val="20"/>
          <w:lang w:val="en-US"/>
        </w:rPr>
        <w:t xml:space="preserve"> </w:t>
      </w:r>
      <w:r w:rsidRPr="00051DCB">
        <w:rPr>
          <w:rFonts w:cs="Times New Roman"/>
          <w:i/>
          <w:iCs/>
          <w:sz w:val="20"/>
          <w:szCs w:val="20"/>
          <w:lang w:val="en-US"/>
        </w:rPr>
        <w:t>V</w:t>
      </w:r>
      <w:r w:rsidRPr="00051DCB">
        <w:rPr>
          <w:rFonts w:cs="Times New Roman"/>
          <w:i/>
          <w:iCs/>
          <w:caps w:val="0"/>
          <w:sz w:val="20"/>
          <w:szCs w:val="20"/>
          <w:lang w:val="en-US"/>
        </w:rPr>
        <w:t>innytsia</w:t>
      </w:r>
      <w:r w:rsidRPr="00051DCB">
        <w:rPr>
          <w:rFonts w:cs="Times New Roman"/>
          <w:i/>
          <w:iCs/>
          <w:sz w:val="20"/>
          <w:szCs w:val="20"/>
        </w:rPr>
        <w:t>)</w:t>
      </w:r>
    </w:p>
    <w:p w14:paraId="67B04A62" w14:textId="77777777" w:rsidR="00051DCB" w:rsidRDefault="00051DCB" w:rsidP="00051DCB">
      <w:pPr>
        <w:spacing w:after="0" w:line="240" w:lineRule="auto"/>
        <w:jc w:val="center"/>
        <w:rPr>
          <w:rFonts w:ascii="Times New Roman" w:hAnsi="Times New Roman" w:cs="Times New Roman"/>
          <w:b/>
          <w:bCs/>
          <w:sz w:val="20"/>
          <w:szCs w:val="20"/>
        </w:rPr>
      </w:pPr>
    </w:p>
    <w:p w14:paraId="6449FC07" w14:textId="60B6C80A" w:rsidR="00051DCB" w:rsidRDefault="00051DCB" w:rsidP="00051DCB">
      <w:pPr>
        <w:spacing w:after="0" w:line="240" w:lineRule="auto"/>
        <w:jc w:val="center"/>
        <w:rPr>
          <w:rFonts w:ascii="Times New Roman" w:hAnsi="Times New Roman" w:cs="Times New Roman"/>
          <w:b/>
          <w:bCs/>
          <w:sz w:val="20"/>
          <w:szCs w:val="20"/>
        </w:rPr>
      </w:pPr>
      <w:r w:rsidRPr="00051DCB">
        <w:rPr>
          <w:rFonts w:ascii="Times New Roman" w:hAnsi="Times New Roman" w:cs="Times New Roman"/>
          <w:b/>
          <w:bCs/>
          <w:sz w:val="20"/>
          <w:szCs w:val="20"/>
        </w:rPr>
        <w:t>ADAPTATION OF UKRAINIAN HIGHER EDUCATION TO EUROPEAN STANDARDS</w:t>
      </w:r>
    </w:p>
    <w:p w14:paraId="4673246D" w14:textId="77777777" w:rsidR="00051DCB" w:rsidRPr="00BB61D9" w:rsidRDefault="00051DCB" w:rsidP="00051DCB">
      <w:pPr>
        <w:spacing w:after="0" w:line="240" w:lineRule="auto"/>
        <w:jc w:val="center"/>
        <w:rPr>
          <w:rFonts w:ascii="Times New Roman" w:hAnsi="Times New Roman" w:cs="Times New Roman"/>
          <w:b/>
          <w:bCs/>
          <w:sz w:val="20"/>
          <w:szCs w:val="20"/>
        </w:rPr>
      </w:pPr>
    </w:p>
    <w:p w14:paraId="7EA5B175" w14:textId="77777777" w:rsidR="00051DCB" w:rsidRDefault="00051DCB" w:rsidP="00BB61D9">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The process of adaptation of Ukrainian higher education to European standards in the context of globalization and integration processes reveals a number of systemic problems. Outdated governance models, insufficient funding, a gap between labor market needs and educational programs, and the lack of effective mechanisms to ensure the quality of education limit the ability of domestic universities to provide competitive training. To overcome these challenges, a comprehensive transformation of the higher education system is needed, including modernization of the governance system, development of academic mobility, strengthening of international cooperation, and increasing the role of science in the educational process.</w:t>
      </w:r>
    </w:p>
    <w:p w14:paraId="4EA25CB2" w14:textId="77777777" w:rsidR="00051DCB" w:rsidRDefault="00051DCB" w:rsidP="00BB61D9">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The concept of "state policy in higher education" has undergone a significant evolution, especially in the context of globalization and integration processes. If earlier the emphasis was on quantitative indicators of higher education development, today the qualitative characteristics, compliance with European standards and integration into the global educational space are coming to the fore. In today's environment, the state policy in the field of higher education should be aimed at creating a favorable environment for the development of competitive universities that meet the requirements of the labor market and society.</w:t>
      </w:r>
    </w:p>
    <w:p w14:paraId="015EDEAA" w14:textId="77777777" w:rsidR="00051DCB" w:rsidRDefault="00051DCB" w:rsidP="006722B7">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The functioning of public administration mechanisms in higher education in Ukraine largely depends on a set of interrelated internal and external factors. External factors, such as globalization, European integration and digital transformation, set new requirements for the quality of education and graduate competencies. Internal factors, such as the state of the economy, social processes, and the political situation, affect the state's ability to finance higher education and implement reforms. To successfully adapt to European standards, it is necessary to take into account the dynamics of these factors and develop flexible governance mechanisms that can respond quickly to changes.</w:t>
      </w:r>
    </w:p>
    <w:p w14:paraId="4FF34917" w14:textId="5011FD65" w:rsidR="00051DCB" w:rsidRDefault="00051DCB" w:rsidP="006722B7">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The effectiveness of public administration of higher education largely depends on the socio-cultural context in which they operate. Historically formed traditions, social norms and institutional mechanisms influence the perception of innovations and readiness for change. For the successful implementation of innovative management mechanisms, it is necessary to take into account the specifics of Ukrainian society and create conditions for a dialogue between different stakeholders of the educational process </w:t>
      </w:r>
      <w:r w:rsidRPr="00DE1064">
        <w:rPr>
          <w:rFonts w:ascii="Times New Roman" w:hAnsi="Times New Roman" w:cs="Times New Roman"/>
          <w:sz w:val="20"/>
          <w:szCs w:val="20"/>
        </w:rPr>
        <w:t>–</w:t>
      </w:r>
      <w:r w:rsidRPr="00051DCB">
        <w:rPr>
          <w:rFonts w:ascii="Times New Roman" w:hAnsi="Times New Roman" w:cs="Times New Roman"/>
          <w:sz w:val="20"/>
          <w:szCs w:val="20"/>
        </w:rPr>
        <w:t xml:space="preserve"> the state, universities, business and the public.</w:t>
      </w:r>
    </w:p>
    <w:p w14:paraId="73A52985" w14:textId="77777777" w:rsidR="00051DCB" w:rsidRDefault="00051DCB" w:rsidP="00051DCB">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Traditional paradigms of public education administration based on centralization and bureaucratic procedures are becoming obsolete in the context of globalization and innovative development. Current research in the field of educational management demonstrates the need to move to more flexible and adaptive management models. The key aspects of this transition are:</w:t>
      </w:r>
    </w:p>
    <w:p w14:paraId="3166C616" w14:textId="77777777" w:rsidR="00051DCB" w:rsidRDefault="00051DCB" w:rsidP="006722B7">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development of management personnel competencies: development of new skills and knowledge necessary for effective management in the face of constant change; </w:t>
      </w:r>
    </w:p>
    <w:p w14:paraId="3EF673F6" w14:textId="77777777" w:rsidR="00051DCB" w:rsidRDefault="00051DCB" w:rsidP="006722B7">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optimization of resources: search for effective mechanisms to achieve goals at minimal cost based on data analysis and application of the latest technologies; </w:t>
      </w:r>
    </w:p>
    <w:p w14:paraId="730D6CD7" w14:textId="0FCB7F69" w:rsidR="00051DCB" w:rsidRDefault="00051DCB" w:rsidP="006722B7">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proactive management: ability to anticipate changes in the environment and quickly adapt to them;</w:t>
      </w:r>
    </w:p>
    <w:p w14:paraId="73B20B4A" w14:textId="77777777" w:rsidR="00051DCB" w:rsidRDefault="00051DCB" w:rsidP="00D80C12">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social responsibility: taking into account social needs and values when making management decisions; </w:t>
      </w:r>
    </w:p>
    <w:p w14:paraId="0A4709CC" w14:textId="01FC3493" w:rsidR="00051DCB" w:rsidRPr="00051DCB" w:rsidRDefault="00051DCB" w:rsidP="00D80C12">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information technology: widespread use of analytical tools and information systems to make informed decisions.</w:t>
      </w:r>
    </w:p>
    <w:p w14:paraId="1296B694" w14:textId="77777777" w:rsidR="00051DCB" w:rsidRDefault="00051DCB" w:rsidP="009B2C79">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One of the priorities of modern state education policy is to ensure equal access to quality education. Historically, the level of public participation in education governance has depended on the socio-cultural context and political conditions. Today, in the context of globalization and democratization of society, it is time to find an optimal balance between state regulation and public participation in the management of educational institutions.</w:t>
      </w:r>
    </w:p>
    <w:p w14:paraId="3D05CDBD" w14:textId="77777777" w:rsidR="00051DCB" w:rsidRDefault="00051DCB" w:rsidP="00051DCB">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A systematic analysis of Ukrainian higher education in the context of European integration requires a comprehensive study of the relationships between all components of the educational system. For effective adaptation to European standards, it is necessary to:</w:t>
      </w:r>
    </w:p>
    <w:p w14:paraId="10F9A308" w14:textId="44CA346A" w:rsidR="00051DCB" w:rsidRDefault="00051DCB" w:rsidP="009B2C79">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to conduct an in-depth analysis of contradictions: to identify and analyze the discrepancies between the existing system of higher education in Ukraine and the requirements of the Bologna Process and other European initiatives; </w:t>
      </w:r>
    </w:p>
    <w:p w14:paraId="442FC0E7" w14:textId="3EDA7C4E" w:rsidR="00051DCB" w:rsidRDefault="00051DCB" w:rsidP="009B2C79">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to identify and classify problems: to identify key problems that hinder the full integration of Ukrainian higher education into the European educational space;</w:t>
      </w:r>
    </w:p>
    <w:p w14:paraId="4F167D3A" w14:textId="339B4C7F"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to study the dynamics of changes: to analyze the pace and directions of reforms in higher education, identify factors influencing these changes, and predict possible development scenarios; </w:t>
      </w:r>
    </w:p>
    <w:p w14:paraId="30E1250C" w14:textId="0D693D56"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to develop a development strategy: to create a clear and consistent strategy for the development of higher education, which includes the implementation of European standards, improving the quality of educational services and ensuring the competitiveness of Ukrainian graduates in the global labor market [1; 4].</w:t>
      </w:r>
    </w:p>
    <w:p w14:paraId="5FA21E88" w14:textId="77777777" w:rsidR="00051DCB" w:rsidRDefault="00051DCB" w:rsidP="00051DCB">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Modernization of the higher education management system in Ukraine in the context of European integration requires the introduction of effective mechanisms for assessing the quality and effectiveness of educational programs. The creation of a national system for monitoring the quality of education will allow:</w:t>
      </w:r>
    </w:p>
    <w:p w14:paraId="4EB02831" w14:textId="2A9D17E9"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to ensure transparency and accountability: to create conditions for an objective assessment of the activities of higher education institutions and the effectiveness of state policy in the field of education; </w:t>
      </w:r>
    </w:p>
    <w:p w14:paraId="5618B746" w14:textId="26D31889"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lastRenderedPageBreak/>
        <w:t xml:space="preserve">to stimulate quality improvement: to direct the efforts of higher education institutions to continuously improve educational programs and services; </w:t>
      </w:r>
    </w:p>
    <w:p w14:paraId="7341EAB5" w14:textId="0AC35B5C"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Pr>
          <w:rFonts w:ascii="Times New Roman" w:hAnsi="Times New Roman" w:cs="Times New Roman"/>
          <w:sz w:val="20"/>
          <w:szCs w:val="20"/>
        </w:rPr>
        <w:t xml:space="preserve"> </w:t>
      </w:r>
      <w:r w:rsidRPr="00051DCB">
        <w:rPr>
          <w:rFonts w:ascii="Times New Roman" w:hAnsi="Times New Roman" w:cs="Times New Roman"/>
          <w:sz w:val="20"/>
          <w:szCs w:val="20"/>
        </w:rPr>
        <w:t>to ensure compliance with European standards: to compare the results of Ukrainian higher education institutions with the performance of European universities and identify areas for further development.</w:t>
      </w:r>
    </w:p>
    <w:p w14:paraId="2BD14E2B" w14:textId="77777777" w:rsidR="00051DCB" w:rsidRDefault="00051DCB" w:rsidP="00051DCB">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The changing role of higher education in modern society necessitates a rethinking of traditional approaches to managing the educational process. Modern higher education must meet the following requirements:</w:t>
      </w:r>
    </w:p>
    <w:p w14:paraId="5059EBD0" w14:textId="47216DD9"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individualization of learning: ensuring that each student can choose an individual educational path in accordance with their interests and labor market needs; </w:t>
      </w:r>
    </w:p>
    <w:p w14:paraId="51B6EC2A" w14:textId="0E7BA81C"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results orientation: transition from quantitative indicators to assessing the quality of acquired competencies; </w:t>
      </w:r>
    </w:p>
    <w:p w14:paraId="680AE6E4" w14:textId="76A4B11C" w:rsidR="00051DCB" w:rsidRDefault="00051DCB" w:rsidP="00051DCB">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cooperation with business and the public: ensuring close links between higher education and the real economy, as well as public involvement in the education management process.</w:t>
      </w:r>
    </w:p>
    <w:p w14:paraId="0042C6B5" w14:textId="77777777" w:rsidR="00051DCB" w:rsidRDefault="00051DCB" w:rsidP="00051DCB">
      <w:pPr>
        <w:spacing w:after="0" w:line="240" w:lineRule="auto"/>
        <w:ind w:firstLine="567"/>
        <w:jc w:val="both"/>
        <w:rPr>
          <w:rFonts w:ascii="Times New Roman" w:hAnsi="Times New Roman" w:cs="Times New Roman"/>
          <w:sz w:val="20"/>
          <w:szCs w:val="20"/>
        </w:rPr>
      </w:pPr>
      <w:r w:rsidRPr="00051DCB">
        <w:rPr>
          <w:rFonts w:ascii="Times New Roman" w:hAnsi="Times New Roman" w:cs="Times New Roman"/>
          <w:sz w:val="20"/>
          <w:szCs w:val="20"/>
        </w:rPr>
        <w:t>The conservatism of the Ukrainian higher education system significantly limits its ability to self-renew and adapt to the rapidly changing requirements of modern society. To ensure the sustainable development of domestic higher education, a systematic approach is important, which provides for:</w:t>
      </w:r>
    </w:p>
    <w:p w14:paraId="565CFC73" w14:textId="30648D4B" w:rsidR="00847AB5" w:rsidRDefault="00051DCB" w:rsidP="00DD7186">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 xml:space="preserve">comprehensive monitoring: research of the interaction of the educational system with the socio-economic environment, as well as analysis of internal processes and management mechanisms; </w:t>
      </w:r>
    </w:p>
    <w:p w14:paraId="5A50C722" w14:textId="69516D1F" w:rsidR="00051DCB" w:rsidRDefault="00051DCB" w:rsidP="00DD7186">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051DCB">
        <w:rPr>
          <w:rFonts w:ascii="Times New Roman" w:hAnsi="Times New Roman" w:cs="Times New Roman"/>
          <w:sz w:val="20"/>
          <w:szCs w:val="20"/>
        </w:rPr>
        <w:t>innovative approaches: application of interdisciplinary research and strategic planning tools to develop effective models of higher education development;</w:t>
      </w:r>
    </w:p>
    <w:p w14:paraId="1AC2FC4C" w14:textId="194DF182" w:rsidR="00847AB5" w:rsidRDefault="00847AB5" w:rsidP="00847AB5">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broad stakeholder engagement: active participation of all stakeholders (universities, government agencies, businesses, NGOs, students) in decision-making and reform implementation; </w:t>
      </w:r>
    </w:p>
    <w:p w14:paraId="00E352A0" w14:textId="7566F313" w:rsidR="00847AB5" w:rsidRDefault="00847AB5" w:rsidP="00847AB5">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performance evaluation: development of effective tools for monitoring and evaluating the results of educational activities, which will allow measuring progress in achieving the goals.</w:t>
      </w:r>
      <w:r>
        <w:rPr>
          <w:rFonts w:ascii="Times New Roman" w:hAnsi="Times New Roman" w:cs="Times New Roman"/>
          <w:sz w:val="20"/>
          <w:szCs w:val="20"/>
        </w:rPr>
        <w:t xml:space="preserve"> </w:t>
      </w:r>
    </w:p>
    <w:p w14:paraId="54658015" w14:textId="77777777" w:rsidR="00847AB5" w:rsidRPr="00847AB5" w:rsidRDefault="00847AB5" w:rsidP="00847AB5">
      <w:pPr>
        <w:spacing w:after="0" w:line="240" w:lineRule="auto"/>
        <w:ind w:firstLine="567"/>
        <w:jc w:val="both"/>
        <w:rPr>
          <w:rFonts w:ascii="Times New Roman" w:hAnsi="Times New Roman" w:cs="Times New Roman"/>
          <w:sz w:val="20"/>
          <w:szCs w:val="20"/>
        </w:rPr>
      </w:pPr>
      <w:r w:rsidRPr="00847AB5">
        <w:rPr>
          <w:rFonts w:ascii="Times New Roman" w:hAnsi="Times New Roman" w:cs="Times New Roman"/>
          <w:sz w:val="20"/>
          <w:szCs w:val="20"/>
        </w:rPr>
        <w:t>The question of forming effective management mechanisms that would ensure:</w:t>
      </w:r>
    </w:p>
    <w:p w14:paraId="635E464C" w14:textId="0B76EBE7" w:rsidR="00847AB5" w:rsidRDefault="00847AB5" w:rsidP="00847AB5">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cooperation between universities and other stakeholders to jointly solve problems and implement joint projects; </w:t>
      </w:r>
    </w:p>
    <w:p w14:paraId="1D0D35F3" w14:textId="20109CCF" w:rsidR="00847AB5" w:rsidRDefault="00847AB5" w:rsidP="00847AB5">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involvement of the public in the decision-making process on the development of higher education; </w:t>
      </w:r>
    </w:p>
    <w:p w14:paraId="4839D197" w14:textId="4D3E3F1F" w:rsidR="00847AB5" w:rsidRDefault="00847AB5" w:rsidP="00847AB5">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institutional changes to reform the management system of higher education institutions to increase their autonomy and responsibility.</w:t>
      </w:r>
    </w:p>
    <w:p w14:paraId="6BFB0476" w14:textId="77777777" w:rsidR="00847AB5" w:rsidRDefault="00847AB5" w:rsidP="00847AB5">
      <w:pPr>
        <w:spacing w:after="0" w:line="240" w:lineRule="auto"/>
        <w:ind w:firstLine="567"/>
        <w:jc w:val="both"/>
        <w:rPr>
          <w:rFonts w:ascii="Times New Roman" w:hAnsi="Times New Roman" w:cs="Times New Roman"/>
          <w:sz w:val="20"/>
          <w:szCs w:val="20"/>
        </w:rPr>
      </w:pPr>
      <w:r w:rsidRPr="00847AB5">
        <w:rPr>
          <w:rFonts w:ascii="Times New Roman" w:hAnsi="Times New Roman" w:cs="Times New Roman"/>
          <w:sz w:val="20"/>
          <w:szCs w:val="20"/>
        </w:rPr>
        <w:t>It is appropriate to outline the main problems associated with the adaptation of Ukrainian higher education to European standards, and consider them at several levels:</w:t>
      </w:r>
    </w:p>
    <w:p w14:paraId="030C86A9" w14:textId="0AE99574" w:rsidR="00847AB5" w:rsidRDefault="00847AB5" w:rsidP="00DE106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regulatory barriers. There is a need for deeper harmonization of national legislation with European educational standards. Although certain reforms have already been implemented, the legal framework needs further improvement to fully integrate with the European education area; </w:t>
      </w:r>
    </w:p>
    <w:p w14:paraId="1FECBF68" w14:textId="39D3CA21" w:rsidR="00847AB5" w:rsidRDefault="00847AB5" w:rsidP="00DE106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insufficient financial support. The Ukrainian higher education system faces the problem of limited funding, which complicates the implementation of European quality standards, in particular in terms of innovative teaching technologies, research and academic mobility;</w:t>
      </w:r>
    </w:p>
    <w:p w14:paraId="19381F6F" w14:textId="4034C82D" w:rsidR="00847AB5" w:rsidRDefault="00847AB5" w:rsidP="00DE106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quality of education. The lack of sufficient mechanisms to control the quality of education, as well as limited resources to ensure the educational process at the level of European standards, is a significant challenge for public higher education institutions; </w:t>
      </w:r>
    </w:p>
    <w:p w14:paraId="72FAE1AF" w14:textId="77777777" w:rsidR="00847AB5" w:rsidRDefault="00847AB5" w:rsidP="00DE106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inconsistency of curricula. Many Ukrainian educational programs do not fully comply with European requirements and do not provide the competencies necessary for the competitiveness of graduates in the international labor market; </w:t>
      </w:r>
    </w:p>
    <w:p w14:paraId="425CFF90" w14:textId="289B395E" w:rsidR="00847AB5" w:rsidRDefault="00847AB5" w:rsidP="00DE106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academic mobility. Although the country participates in the Bologna process, the actual level of academic mobility of students and teachers needs to be improved due to insufficient support, bureaucratic obstacles, and language barriers;</w:t>
      </w:r>
    </w:p>
    <w:p w14:paraId="2651BBB8" w14:textId="44C22C9C" w:rsidR="00847AB5" w:rsidRDefault="00847AB5" w:rsidP="00871CD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infrastructure problems. Many universities in Ukraine do not have modern infrastructure for teaching and research, which makes it difficult to introduce innovative technologies and teaching methods typical of European educational systems; </w:t>
      </w:r>
    </w:p>
    <w:p w14:paraId="3E75D526" w14:textId="5D87E651" w:rsidR="00847AB5" w:rsidRPr="00847AB5" w:rsidRDefault="00847AB5" w:rsidP="00AF637D">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lack of internationalization of the educational process. The low level of internationalization of programs and the lack of a sufficient number of courses in English hinders the attraction of foreign students and teachers, etc.</w:t>
      </w:r>
    </w:p>
    <w:p w14:paraId="2024466B" w14:textId="1DA63742" w:rsidR="00847AB5" w:rsidRDefault="00847AB5" w:rsidP="00847AB5">
      <w:pPr>
        <w:spacing w:after="0" w:line="240" w:lineRule="auto"/>
        <w:ind w:firstLine="567"/>
        <w:jc w:val="both"/>
        <w:rPr>
          <w:rFonts w:ascii="Times New Roman" w:hAnsi="Times New Roman" w:cs="Times New Roman"/>
          <w:sz w:val="20"/>
          <w:szCs w:val="20"/>
        </w:rPr>
      </w:pPr>
      <w:r w:rsidRPr="00847AB5">
        <w:rPr>
          <w:rFonts w:ascii="Times New Roman" w:hAnsi="Times New Roman" w:cs="Times New Roman"/>
          <w:sz w:val="20"/>
          <w:szCs w:val="20"/>
        </w:rPr>
        <w:t>The adaptation of Ukrainian higher education to European standards involves overcoming existing problems by reforming the educational system, improving management mechanisms, and developing infrastructure and educational programs.</w:t>
      </w:r>
      <w:r>
        <w:rPr>
          <w:rFonts w:ascii="Times New Roman" w:hAnsi="Times New Roman" w:cs="Times New Roman"/>
          <w:sz w:val="20"/>
          <w:szCs w:val="20"/>
        </w:rPr>
        <w:t xml:space="preserve"> </w:t>
      </w:r>
      <w:r w:rsidRPr="00847AB5">
        <w:rPr>
          <w:rFonts w:ascii="Times New Roman" w:hAnsi="Times New Roman" w:cs="Times New Roman"/>
          <w:sz w:val="20"/>
          <w:szCs w:val="20"/>
        </w:rPr>
        <w:t>Despite the challenges, Ukraine's higher education system has significant potential for development and integration into the European educational space. For successful adaptation to European standards, the following key measures should be taken to improve competitiveness and quality of education, in particular</w:t>
      </w:r>
      <w:r>
        <w:rPr>
          <w:rFonts w:ascii="Times New Roman" w:hAnsi="Times New Roman" w:cs="Times New Roman"/>
          <w:sz w:val="20"/>
          <w:szCs w:val="20"/>
        </w:rPr>
        <w:t>:</w:t>
      </w:r>
    </w:p>
    <w:p w14:paraId="06F7F1AC" w14:textId="70FF1352" w:rsidR="00847AB5" w:rsidRDefault="00847AB5" w:rsidP="00DE1064">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ensuring the flexibility of educational programs and academic mobility of students. Modern European educational standards provide for the individualization of educational trajectories, which allows students to choose courses and modules according to their professional interests and career goals. To achieve this, it is necessary to improve the mechanisms for developing and implementing flexible educational programs that meet international requirements. An important element is to simplify the procedures for recognizing academic achievements, which will facilitate more active participation of students in academic mobility programs such as Erasmus+ and others;</w:t>
      </w:r>
    </w:p>
    <w:p w14:paraId="5D2CDC96" w14:textId="77777777" w:rsidR="00847AB5" w:rsidRDefault="00847AB5" w:rsidP="00941A7D">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 xml:space="preserve">stimulating research and introducing new pedagogical technologies. Innovation is one of the key aspects of European higher education standards. To this end, Ukrainian universities need to provide appropriate conditions for the </w:t>
      </w:r>
      <w:r w:rsidRPr="00847AB5">
        <w:rPr>
          <w:rFonts w:ascii="Times New Roman" w:hAnsi="Times New Roman" w:cs="Times New Roman"/>
          <w:sz w:val="20"/>
          <w:szCs w:val="20"/>
        </w:rPr>
        <w:lastRenderedPageBreak/>
        <w:t>development of research activities, in particular by investing in research infrastructure, funding promising research projects, and supporting interdisciplinary research.</w:t>
      </w:r>
      <w:r w:rsidRPr="00847AB5">
        <w:rPr>
          <w:rFonts w:ascii="Times New Roman" w:hAnsi="Times New Roman" w:cs="Times New Roman"/>
          <w:sz w:val="20"/>
          <w:szCs w:val="20"/>
        </w:rPr>
        <w:t xml:space="preserve"> </w:t>
      </w:r>
      <w:r w:rsidRPr="00847AB5">
        <w:rPr>
          <w:rFonts w:ascii="Times New Roman" w:hAnsi="Times New Roman" w:cs="Times New Roman"/>
          <w:sz w:val="20"/>
          <w:szCs w:val="20"/>
        </w:rPr>
        <w:t>At the same time, it is important to introduce the latest pedagogical technologies, such as distance and blended learning, interactive teaching methods, and the use of digital learning platforms, which will help to improve the efficiency of the educational process;</w:t>
      </w:r>
    </w:p>
    <w:p w14:paraId="45A52D89" w14:textId="49BB5D7E" w:rsidR="00847AB5" w:rsidRPr="00847AB5" w:rsidRDefault="00847AB5" w:rsidP="002E5E91">
      <w:pPr>
        <w:pStyle w:val="a5"/>
        <w:numPr>
          <w:ilvl w:val="0"/>
          <w:numId w:val="2"/>
        </w:numPr>
        <w:tabs>
          <w:tab w:val="left" w:pos="709"/>
          <w:tab w:val="left" w:pos="993"/>
        </w:tabs>
        <w:spacing w:after="0" w:line="240" w:lineRule="auto"/>
        <w:ind w:left="0" w:firstLine="567"/>
        <w:jc w:val="both"/>
        <w:rPr>
          <w:rFonts w:ascii="Times New Roman" w:hAnsi="Times New Roman" w:cs="Times New Roman"/>
          <w:sz w:val="20"/>
          <w:szCs w:val="20"/>
        </w:rPr>
      </w:pPr>
      <w:r w:rsidRPr="00847AB5">
        <w:rPr>
          <w:rFonts w:ascii="Times New Roman" w:hAnsi="Times New Roman" w:cs="Times New Roman"/>
          <w:sz w:val="20"/>
          <w:szCs w:val="20"/>
        </w:rPr>
        <w:t>expanding international cooperation, attracting foreign teachers and students. Internationalization is an integral part of the adaptation of Ukrainian higher education to European standards. To this end, it is necessary to expand international cooperation, including the conclusion of joint program agreements with European universities, participation in international research projects, and the creation of favorable conditions for attracting foreign teachers.</w:t>
      </w:r>
      <w:r w:rsidRPr="00847AB5">
        <w:rPr>
          <w:rFonts w:ascii="Times New Roman" w:hAnsi="Times New Roman" w:cs="Times New Roman"/>
          <w:sz w:val="20"/>
          <w:szCs w:val="20"/>
        </w:rPr>
        <w:t xml:space="preserve"> </w:t>
      </w:r>
      <w:r w:rsidRPr="00847AB5">
        <w:rPr>
          <w:rFonts w:ascii="Times New Roman" w:hAnsi="Times New Roman" w:cs="Times New Roman"/>
          <w:sz w:val="20"/>
          <w:szCs w:val="20"/>
        </w:rPr>
        <w:t>Increasing the number of foreign students, in particular through offering programs in English, will allow Ukrainian universities to integrate more actively into the global educational space, as well as improve the quality of the educational process and the reputation of Ukrainian higher education institutions in the international arena.</w:t>
      </w:r>
    </w:p>
    <w:p w14:paraId="27AAB4EE" w14:textId="77777777" w:rsidR="00847AB5" w:rsidRDefault="00847AB5" w:rsidP="009B2C79">
      <w:pPr>
        <w:spacing w:after="0" w:line="240" w:lineRule="auto"/>
        <w:ind w:firstLine="567"/>
        <w:jc w:val="both"/>
        <w:rPr>
          <w:rFonts w:ascii="Times New Roman" w:hAnsi="Times New Roman" w:cs="Times New Roman"/>
          <w:sz w:val="20"/>
          <w:szCs w:val="20"/>
        </w:rPr>
      </w:pPr>
      <w:r w:rsidRPr="00847AB5">
        <w:rPr>
          <w:rFonts w:ascii="Times New Roman" w:hAnsi="Times New Roman" w:cs="Times New Roman"/>
          <w:sz w:val="20"/>
          <w:szCs w:val="20"/>
        </w:rPr>
        <w:t>These steps will facilitate the gradual adaptation of national higher education to European standards, creating conditions for its innovative development and integration into the European and global educational space.</w:t>
      </w:r>
    </w:p>
    <w:p w14:paraId="6D73CC84" w14:textId="2C20BD7D" w:rsidR="00DE1064" w:rsidRDefault="00847AB5" w:rsidP="00847AB5">
      <w:pPr>
        <w:spacing w:after="0" w:line="240" w:lineRule="auto"/>
        <w:ind w:firstLine="567"/>
        <w:jc w:val="both"/>
        <w:rPr>
          <w:rFonts w:ascii="Times New Roman" w:hAnsi="Times New Roman" w:cs="Times New Roman"/>
          <w:sz w:val="20"/>
          <w:szCs w:val="20"/>
        </w:rPr>
      </w:pPr>
      <w:r w:rsidRPr="00847AB5">
        <w:rPr>
          <w:rFonts w:ascii="Times New Roman" w:hAnsi="Times New Roman" w:cs="Times New Roman"/>
          <w:sz w:val="20"/>
          <w:szCs w:val="20"/>
        </w:rPr>
        <w:t>Thus, it can be stated that a systematic approach to higher education management and the introduction of effective quality assessment mechanisms are necessary conditions for Ukraine's successful adaptation to European standards. Only under such conditions will our country's higher education be able to meet the requirements of modern society and ensure the competitiveness of graduates in the global labor market.</w:t>
      </w:r>
    </w:p>
    <w:p w14:paraId="7F122512" w14:textId="77777777" w:rsidR="00847AB5" w:rsidRDefault="00847AB5" w:rsidP="00DE1064">
      <w:pPr>
        <w:spacing w:after="0" w:line="240" w:lineRule="auto"/>
        <w:ind w:firstLine="567"/>
        <w:jc w:val="center"/>
        <w:rPr>
          <w:rFonts w:ascii="Times New Roman" w:hAnsi="Times New Roman" w:cs="Times New Roman"/>
          <w:sz w:val="20"/>
          <w:szCs w:val="20"/>
        </w:rPr>
      </w:pPr>
    </w:p>
    <w:p w14:paraId="2297FC34" w14:textId="37DDFE1C" w:rsidR="006722B7" w:rsidRDefault="00847AB5" w:rsidP="00847AB5">
      <w:pPr>
        <w:spacing w:after="0" w:line="240" w:lineRule="auto"/>
        <w:jc w:val="center"/>
        <w:rPr>
          <w:rFonts w:ascii="Times New Roman" w:hAnsi="Times New Roman" w:cs="Times New Roman"/>
          <w:b/>
          <w:bCs/>
          <w:sz w:val="20"/>
          <w:szCs w:val="20"/>
        </w:rPr>
      </w:pPr>
      <w:r w:rsidRPr="00847AB5">
        <w:rPr>
          <w:rFonts w:ascii="Times New Roman" w:hAnsi="Times New Roman" w:cs="Times New Roman"/>
          <w:b/>
          <w:bCs/>
          <w:sz w:val="20"/>
          <w:szCs w:val="20"/>
        </w:rPr>
        <w:t>Information sources</w:t>
      </w:r>
    </w:p>
    <w:p w14:paraId="5A6A5096" w14:textId="77777777" w:rsidR="00847AB5" w:rsidRPr="006722B7" w:rsidRDefault="00847AB5" w:rsidP="00847AB5">
      <w:pPr>
        <w:spacing w:after="0" w:line="240" w:lineRule="auto"/>
        <w:jc w:val="center"/>
        <w:rPr>
          <w:rFonts w:ascii="Times New Roman" w:hAnsi="Times New Roman" w:cs="Times New Roman"/>
          <w:sz w:val="20"/>
          <w:szCs w:val="20"/>
        </w:rPr>
      </w:pPr>
    </w:p>
    <w:p w14:paraId="3612E4D1" w14:textId="65BF89A8" w:rsidR="006722B7" w:rsidRPr="00DE1064" w:rsidRDefault="00DE1064" w:rsidP="00BB61D9">
      <w:pPr>
        <w:spacing w:after="0" w:line="240" w:lineRule="auto"/>
        <w:ind w:firstLine="567"/>
        <w:jc w:val="both"/>
        <w:rPr>
          <w:rFonts w:ascii="Times New Roman" w:hAnsi="Times New Roman" w:cs="Times New Roman"/>
          <w:sz w:val="20"/>
          <w:szCs w:val="20"/>
        </w:rPr>
      </w:pPr>
      <w:r w:rsidRPr="00DE1064">
        <w:rPr>
          <w:rFonts w:ascii="Times New Roman" w:hAnsi="Times New Roman" w:cs="Times New Roman"/>
          <w:sz w:val="20"/>
          <w:szCs w:val="20"/>
        </w:rPr>
        <w:t>1. Challenges of legal science and education: an experience of EU countries and introduction in Ukraine: Collective monograph. Frankfurt (Oder): Izdevniecība «Baltija Publishing», 2020. 468 p.</w:t>
      </w:r>
    </w:p>
    <w:p w14:paraId="7D0AC86F" w14:textId="6F0C1747" w:rsidR="00D000F3" w:rsidRDefault="00D000F3" w:rsidP="00BB61D9">
      <w:pPr>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2</w:t>
      </w:r>
      <w:r w:rsidR="00DE1064" w:rsidRPr="00DE1064">
        <w:rPr>
          <w:rFonts w:ascii="Times New Roman" w:hAnsi="Times New Roman" w:cs="Times New Roman"/>
          <w:sz w:val="20"/>
          <w:szCs w:val="20"/>
        </w:rPr>
        <w:t xml:space="preserve">. </w:t>
      </w:r>
      <w:r w:rsidR="00847AB5" w:rsidRPr="00847AB5">
        <w:rPr>
          <w:rFonts w:ascii="Times New Roman" w:hAnsi="Times New Roman" w:cs="Times New Roman"/>
          <w:sz w:val="20"/>
          <w:szCs w:val="20"/>
        </w:rPr>
        <w:t>The Strategy for the Development of Higher Education in Ukraine for 2022-2032, approved by the Cabinet of Ministers of Ukraine by Resolution 286-p of February 23, 2022.</w:t>
      </w:r>
      <w:r w:rsidR="00847AB5">
        <w:rPr>
          <w:rFonts w:ascii="Times New Roman" w:hAnsi="Times New Roman" w:cs="Times New Roman"/>
          <w:sz w:val="20"/>
          <w:szCs w:val="20"/>
        </w:rPr>
        <w:t xml:space="preserve"> </w:t>
      </w:r>
      <w:r>
        <w:rPr>
          <w:rFonts w:ascii="Times New Roman" w:hAnsi="Times New Roman" w:cs="Times New Roman"/>
          <w:sz w:val="20"/>
          <w:szCs w:val="20"/>
          <w:lang w:val="en-US"/>
        </w:rPr>
        <w:t>URL</w:t>
      </w:r>
      <w:r>
        <w:rPr>
          <w:rFonts w:ascii="Times New Roman" w:hAnsi="Times New Roman" w:cs="Times New Roman"/>
          <w:sz w:val="20"/>
          <w:szCs w:val="20"/>
        </w:rPr>
        <w:t xml:space="preserve">: </w:t>
      </w:r>
      <w:r w:rsidRPr="00D000F3">
        <w:rPr>
          <w:rFonts w:ascii="Times New Roman" w:hAnsi="Times New Roman" w:cs="Times New Roman"/>
          <w:sz w:val="20"/>
          <w:szCs w:val="20"/>
        </w:rPr>
        <w:t xml:space="preserve">https://zakon.rada.gov.ua/laws/show/286-2022-%D1%80#Text </w:t>
      </w:r>
    </w:p>
    <w:p w14:paraId="129DF7F8" w14:textId="52834059" w:rsidR="00D000F3" w:rsidRDefault="00D000F3" w:rsidP="00BB61D9">
      <w:pPr>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3. </w:t>
      </w:r>
      <w:r w:rsidR="00847AB5" w:rsidRPr="00847AB5">
        <w:rPr>
          <w:rFonts w:ascii="Times New Roman" w:hAnsi="Times New Roman" w:cs="Times New Roman"/>
          <w:sz w:val="20"/>
          <w:szCs w:val="20"/>
        </w:rPr>
        <w:t>On the Sustainable Development Goals of Ukraine for the period up to 2030: Presidential Decree 722/2019 of 30.09.2019.</w:t>
      </w:r>
      <w:r w:rsidR="00847AB5">
        <w:rPr>
          <w:rFonts w:ascii="Times New Roman" w:hAnsi="Times New Roman" w:cs="Times New Roman"/>
          <w:sz w:val="20"/>
          <w:szCs w:val="20"/>
        </w:rPr>
        <w:t xml:space="preserve"> </w:t>
      </w:r>
      <w:r w:rsidRPr="00DE1064">
        <w:rPr>
          <w:rFonts w:ascii="Times New Roman" w:hAnsi="Times New Roman" w:cs="Times New Roman"/>
          <w:sz w:val="20"/>
          <w:szCs w:val="20"/>
        </w:rPr>
        <w:t xml:space="preserve">URL: </w:t>
      </w:r>
      <w:hyperlink r:id="rId5" w:anchor="Text" w:history="1">
        <w:r w:rsidRPr="00DE1064">
          <w:rPr>
            <w:rFonts w:ascii="Times New Roman" w:hAnsi="Times New Roman" w:cs="Times New Roman"/>
            <w:sz w:val="20"/>
            <w:szCs w:val="20"/>
          </w:rPr>
          <w:t>https://zakon.rada.gov.ua/laws/show/722/2019#Text</w:t>
        </w:r>
      </w:hyperlink>
    </w:p>
    <w:p w14:paraId="57BFE37A" w14:textId="6587B60D" w:rsidR="00DE1064" w:rsidRPr="00BB61D9" w:rsidRDefault="00D000F3" w:rsidP="00BB61D9">
      <w:pPr>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4. </w:t>
      </w:r>
      <w:r w:rsidR="00847AB5" w:rsidRPr="00847AB5">
        <w:rPr>
          <w:rFonts w:ascii="Times New Roman" w:hAnsi="Times New Roman" w:cs="Times New Roman"/>
          <w:sz w:val="20"/>
          <w:szCs w:val="20"/>
        </w:rPr>
        <w:t>Nicolas Schmitt from the Report on Comparison of the European Qualifications Framework and the Ukrainian National Qualifications Framework.</w:t>
      </w:r>
      <w:r w:rsidR="00847AB5">
        <w:rPr>
          <w:rFonts w:ascii="Times New Roman" w:hAnsi="Times New Roman" w:cs="Times New Roman"/>
          <w:sz w:val="20"/>
          <w:szCs w:val="20"/>
        </w:rPr>
        <w:t xml:space="preserve"> </w:t>
      </w:r>
      <w:r w:rsidRPr="00DE1064">
        <w:rPr>
          <w:rFonts w:ascii="Times New Roman" w:hAnsi="Times New Roman" w:cs="Times New Roman"/>
          <w:sz w:val="20"/>
          <w:szCs w:val="20"/>
        </w:rPr>
        <w:t>URL: https://europa.eu/europass/system/files/2023-02/Comparison%20</w:t>
      </w:r>
      <w:r w:rsidR="00847AB5">
        <w:rPr>
          <w:rFonts w:ascii="Times New Roman" w:hAnsi="Times New Roman" w:cs="Times New Roman"/>
          <w:sz w:val="20"/>
          <w:szCs w:val="20"/>
        </w:rPr>
        <w:t xml:space="preserve"> </w:t>
      </w:r>
      <w:r w:rsidRPr="00DE1064">
        <w:rPr>
          <w:rFonts w:ascii="Times New Roman" w:hAnsi="Times New Roman" w:cs="Times New Roman"/>
          <w:sz w:val="20"/>
          <w:szCs w:val="20"/>
        </w:rPr>
        <w:t>report%20final%20 rev%2023-02-2023%20UA.pdf</w:t>
      </w:r>
    </w:p>
    <w:sectPr w:rsidR="00DE1064" w:rsidRPr="00BB61D9" w:rsidSect="00E50B3F">
      <w:pgSz w:w="11907" w:h="16840"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B63A9"/>
    <w:multiLevelType w:val="hybridMultilevel"/>
    <w:tmpl w:val="353EE228"/>
    <w:lvl w:ilvl="0" w:tplc="6F34898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13A97BDB"/>
    <w:multiLevelType w:val="multilevel"/>
    <w:tmpl w:val="C61CD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6E3E98"/>
    <w:multiLevelType w:val="multilevel"/>
    <w:tmpl w:val="0B261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882DB0"/>
    <w:multiLevelType w:val="multilevel"/>
    <w:tmpl w:val="F06E3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C17A3B"/>
    <w:multiLevelType w:val="multilevel"/>
    <w:tmpl w:val="0F743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3C70B6"/>
    <w:multiLevelType w:val="multilevel"/>
    <w:tmpl w:val="7764C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9BD235F"/>
    <w:multiLevelType w:val="multilevel"/>
    <w:tmpl w:val="69461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E622934"/>
    <w:multiLevelType w:val="multilevel"/>
    <w:tmpl w:val="E4E84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407115"/>
    <w:multiLevelType w:val="multilevel"/>
    <w:tmpl w:val="0332F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FE12FB"/>
    <w:multiLevelType w:val="multilevel"/>
    <w:tmpl w:val="91C82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5F131A"/>
    <w:multiLevelType w:val="multilevel"/>
    <w:tmpl w:val="FAD20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F3C6276"/>
    <w:multiLevelType w:val="multilevel"/>
    <w:tmpl w:val="098C9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4"/>
  </w:num>
  <w:num w:numId="4">
    <w:abstractNumId w:val="3"/>
  </w:num>
  <w:num w:numId="5">
    <w:abstractNumId w:val="8"/>
  </w:num>
  <w:num w:numId="6">
    <w:abstractNumId w:val="7"/>
  </w:num>
  <w:num w:numId="7">
    <w:abstractNumId w:val="5"/>
  </w:num>
  <w:num w:numId="8">
    <w:abstractNumId w:val="9"/>
  </w:num>
  <w:num w:numId="9">
    <w:abstractNumId w:val="10"/>
  </w:num>
  <w:num w:numId="10">
    <w:abstractNumId w:val="2"/>
  </w:num>
  <w:num w:numId="11">
    <w:abstractNumId w:val="6"/>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A00"/>
    <w:rsid w:val="00015593"/>
    <w:rsid w:val="00051DCB"/>
    <w:rsid w:val="0005319A"/>
    <w:rsid w:val="0019649F"/>
    <w:rsid w:val="006722B7"/>
    <w:rsid w:val="00847AB5"/>
    <w:rsid w:val="00995A6E"/>
    <w:rsid w:val="009B2C79"/>
    <w:rsid w:val="009F52EE"/>
    <w:rsid w:val="00B51A00"/>
    <w:rsid w:val="00BB61D9"/>
    <w:rsid w:val="00D000F3"/>
    <w:rsid w:val="00DD7186"/>
    <w:rsid w:val="00DE1064"/>
    <w:rsid w:val="00E50B3F"/>
    <w:rsid w:val="00EA55EF"/>
    <w:rsid w:val="00F76578"/>
    <w:rsid w:val="00F82214"/>
    <w:rsid w:val="00F902F3"/>
    <w:rsid w:val="00F948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F97AA"/>
  <w15:chartTrackingRefBased/>
  <w15:docId w15:val="{DA5DAC42-63ED-421D-8794-2390EA584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paragraph" w:styleId="3">
    <w:name w:val="heading 3"/>
    <w:basedOn w:val="a"/>
    <w:link w:val="30"/>
    <w:uiPriority w:val="9"/>
    <w:qFormat/>
    <w:rsid w:val="006722B7"/>
    <w:pPr>
      <w:spacing w:before="100" w:beforeAutospacing="1" w:after="100" w:afterAutospacing="1" w:line="240" w:lineRule="auto"/>
      <w:outlineLvl w:val="2"/>
    </w:pPr>
    <w:rPr>
      <w:rFonts w:ascii="Times New Roman" w:eastAsia="Times New Roman" w:hAnsi="Times New Roman" w:cs="Times New Roman"/>
      <w:b/>
      <w:bCs/>
      <w:noProof w:val="0"/>
      <w:sz w:val="27"/>
      <w:szCs w:val="27"/>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722B7"/>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character" w:styleId="a4">
    <w:name w:val="Strong"/>
    <w:basedOn w:val="a0"/>
    <w:uiPriority w:val="22"/>
    <w:qFormat/>
    <w:rsid w:val="006722B7"/>
    <w:rPr>
      <w:b/>
      <w:bCs/>
    </w:rPr>
  </w:style>
  <w:style w:type="paragraph" w:styleId="a5">
    <w:name w:val="List Paragraph"/>
    <w:basedOn w:val="a"/>
    <w:uiPriority w:val="34"/>
    <w:qFormat/>
    <w:rsid w:val="006722B7"/>
    <w:pPr>
      <w:ind w:left="720"/>
      <w:contextualSpacing/>
    </w:pPr>
  </w:style>
  <w:style w:type="character" w:customStyle="1" w:styleId="30">
    <w:name w:val="Заголовок 3 Знак"/>
    <w:basedOn w:val="a0"/>
    <w:link w:val="3"/>
    <w:uiPriority w:val="9"/>
    <w:rsid w:val="006722B7"/>
    <w:rPr>
      <w:rFonts w:ascii="Times New Roman" w:eastAsia="Times New Roman" w:hAnsi="Times New Roman" w:cs="Times New Roman"/>
      <w:b/>
      <w:bCs/>
      <w:sz w:val="27"/>
      <w:szCs w:val="27"/>
      <w:lang w:eastAsia="uk-UA"/>
    </w:rPr>
  </w:style>
  <w:style w:type="character" w:styleId="a6">
    <w:name w:val="Hyperlink"/>
    <w:basedOn w:val="a0"/>
    <w:uiPriority w:val="99"/>
    <w:unhideWhenUsed/>
    <w:rsid w:val="00DE1064"/>
    <w:rPr>
      <w:color w:val="0563C1" w:themeColor="hyperlink"/>
      <w:u w:val="single"/>
    </w:rPr>
  </w:style>
  <w:style w:type="character" w:styleId="a7">
    <w:name w:val="Unresolved Mention"/>
    <w:basedOn w:val="a0"/>
    <w:uiPriority w:val="99"/>
    <w:semiHidden/>
    <w:unhideWhenUsed/>
    <w:rsid w:val="00DE1064"/>
    <w:rPr>
      <w:color w:val="605E5C"/>
      <w:shd w:val="clear" w:color="auto" w:fill="E1DFDD"/>
    </w:rPr>
  </w:style>
  <w:style w:type="paragraph" w:customStyle="1" w:styleId="Author">
    <w:name w:val="Author"/>
    <w:basedOn w:val="a"/>
    <w:qFormat/>
    <w:rsid w:val="00E50B3F"/>
    <w:pPr>
      <w:spacing w:after="0" w:line="300" w:lineRule="auto"/>
      <w:ind w:firstLine="709"/>
      <w:jc w:val="right"/>
    </w:pPr>
    <w:rPr>
      <w:rFonts w:ascii="Times New Roman" w:hAnsi="Times New Roman"/>
      <w:caps/>
      <w:noProof w:val="0"/>
    </w:rPr>
  </w:style>
  <w:style w:type="paragraph" w:styleId="HTML">
    <w:name w:val="HTML Preformatted"/>
    <w:basedOn w:val="a"/>
    <w:link w:val="HTML0"/>
    <w:uiPriority w:val="99"/>
    <w:unhideWhenUsed/>
    <w:rsid w:val="00E50B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noProof w:val="0"/>
      <w:sz w:val="20"/>
      <w:szCs w:val="20"/>
      <w:lang w:eastAsia="uk-UA"/>
    </w:rPr>
  </w:style>
  <w:style w:type="character" w:customStyle="1" w:styleId="HTML0">
    <w:name w:val="Стандартний HTML Знак"/>
    <w:basedOn w:val="a0"/>
    <w:link w:val="HTML"/>
    <w:uiPriority w:val="99"/>
    <w:rsid w:val="00E50B3F"/>
    <w:rPr>
      <w:rFonts w:ascii="Courier New" w:eastAsia="Times New Roman" w:hAnsi="Courier New" w:cs="Courier New"/>
      <w:sz w:val="20"/>
      <w:szCs w:val="20"/>
      <w:lang w:eastAsia="uk-UA"/>
    </w:rPr>
  </w:style>
  <w:style w:type="character" w:customStyle="1" w:styleId="y2iqfc">
    <w:name w:val="y2iqfc"/>
    <w:basedOn w:val="a0"/>
    <w:rsid w:val="00E50B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4881">
      <w:bodyDiv w:val="1"/>
      <w:marLeft w:val="0"/>
      <w:marRight w:val="0"/>
      <w:marTop w:val="0"/>
      <w:marBottom w:val="0"/>
      <w:divBdr>
        <w:top w:val="none" w:sz="0" w:space="0" w:color="auto"/>
        <w:left w:val="none" w:sz="0" w:space="0" w:color="auto"/>
        <w:bottom w:val="none" w:sz="0" w:space="0" w:color="auto"/>
        <w:right w:val="none" w:sz="0" w:space="0" w:color="auto"/>
      </w:divBdr>
    </w:div>
    <w:div w:id="246423323">
      <w:bodyDiv w:val="1"/>
      <w:marLeft w:val="0"/>
      <w:marRight w:val="0"/>
      <w:marTop w:val="0"/>
      <w:marBottom w:val="0"/>
      <w:divBdr>
        <w:top w:val="none" w:sz="0" w:space="0" w:color="auto"/>
        <w:left w:val="none" w:sz="0" w:space="0" w:color="auto"/>
        <w:bottom w:val="none" w:sz="0" w:space="0" w:color="auto"/>
        <w:right w:val="none" w:sz="0" w:space="0" w:color="auto"/>
      </w:divBdr>
    </w:div>
    <w:div w:id="330110161">
      <w:bodyDiv w:val="1"/>
      <w:marLeft w:val="0"/>
      <w:marRight w:val="0"/>
      <w:marTop w:val="0"/>
      <w:marBottom w:val="0"/>
      <w:divBdr>
        <w:top w:val="none" w:sz="0" w:space="0" w:color="auto"/>
        <w:left w:val="none" w:sz="0" w:space="0" w:color="auto"/>
        <w:bottom w:val="none" w:sz="0" w:space="0" w:color="auto"/>
        <w:right w:val="none" w:sz="0" w:space="0" w:color="auto"/>
      </w:divBdr>
    </w:div>
    <w:div w:id="768744133">
      <w:bodyDiv w:val="1"/>
      <w:marLeft w:val="0"/>
      <w:marRight w:val="0"/>
      <w:marTop w:val="0"/>
      <w:marBottom w:val="0"/>
      <w:divBdr>
        <w:top w:val="none" w:sz="0" w:space="0" w:color="auto"/>
        <w:left w:val="none" w:sz="0" w:space="0" w:color="auto"/>
        <w:bottom w:val="none" w:sz="0" w:space="0" w:color="auto"/>
        <w:right w:val="none" w:sz="0" w:space="0" w:color="auto"/>
      </w:divBdr>
    </w:div>
    <w:div w:id="923421629">
      <w:bodyDiv w:val="1"/>
      <w:marLeft w:val="0"/>
      <w:marRight w:val="0"/>
      <w:marTop w:val="0"/>
      <w:marBottom w:val="0"/>
      <w:divBdr>
        <w:top w:val="none" w:sz="0" w:space="0" w:color="auto"/>
        <w:left w:val="none" w:sz="0" w:space="0" w:color="auto"/>
        <w:bottom w:val="none" w:sz="0" w:space="0" w:color="auto"/>
        <w:right w:val="none" w:sz="0" w:space="0" w:color="auto"/>
      </w:divBdr>
    </w:div>
    <w:div w:id="976688665">
      <w:bodyDiv w:val="1"/>
      <w:marLeft w:val="0"/>
      <w:marRight w:val="0"/>
      <w:marTop w:val="0"/>
      <w:marBottom w:val="0"/>
      <w:divBdr>
        <w:top w:val="none" w:sz="0" w:space="0" w:color="auto"/>
        <w:left w:val="none" w:sz="0" w:space="0" w:color="auto"/>
        <w:bottom w:val="none" w:sz="0" w:space="0" w:color="auto"/>
        <w:right w:val="none" w:sz="0" w:space="0" w:color="auto"/>
      </w:divBdr>
    </w:div>
    <w:div w:id="1643146732">
      <w:bodyDiv w:val="1"/>
      <w:marLeft w:val="0"/>
      <w:marRight w:val="0"/>
      <w:marTop w:val="0"/>
      <w:marBottom w:val="0"/>
      <w:divBdr>
        <w:top w:val="none" w:sz="0" w:space="0" w:color="auto"/>
        <w:left w:val="none" w:sz="0" w:space="0" w:color="auto"/>
        <w:bottom w:val="none" w:sz="0" w:space="0" w:color="auto"/>
        <w:right w:val="none" w:sz="0" w:space="0" w:color="auto"/>
      </w:divBdr>
    </w:div>
    <w:div w:id="1710298432">
      <w:bodyDiv w:val="1"/>
      <w:marLeft w:val="0"/>
      <w:marRight w:val="0"/>
      <w:marTop w:val="0"/>
      <w:marBottom w:val="0"/>
      <w:divBdr>
        <w:top w:val="none" w:sz="0" w:space="0" w:color="auto"/>
        <w:left w:val="none" w:sz="0" w:space="0" w:color="auto"/>
        <w:bottom w:val="none" w:sz="0" w:space="0" w:color="auto"/>
        <w:right w:val="none" w:sz="0" w:space="0" w:color="auto"/>
      </w:divBdr>
    </w:div>
    <w:div w:id="1855149696">
      <w:bodyDiv w:val="1"/>
      <w:marLeft w:val="0"/>
      <w:marRight w:val="0"/>
      <w:marTop w:val="0"/>
      <w:marBottom w:val="0"/>
      <w:divBdr>
        <w:top w:val="none" w:sz="0" w:space="0" w:color="auto"/>
        <w:left w:val="none" w:sz="0" w:space="0" w:color="auto"/>
        <w:bottom w:val="none" w:sz="0" w:space="0" w:color="auto"/>
        <w:right w:val="none" w:sz="0" w:space="0" w:color="auto"/>
      </w:divBdr>
    </w:div>
    <w:div w:id="2050838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zakon.rada.gov.ua/laws/show/722/201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250</TotalTime>
  <Pages>3</Pages>
  <Words>9248</Words>
  <Characters>5272</Characters>
  <Application>Microsoft Office Word</Application>
  <DocSecurity>0</DocSecurity>
  <Lines>43</Lines>
  <Paragraphs>28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cp:revision>
  <dcterms:created xsi:type="dcterms:W3CDTF">2024-09-27T16:47:00Z</dcterms:created>
  <dcterms:modified xsi:type="dcterms:W3CDTF">2024-09-30T19:31:00Z</dcterms:modified>
</cp:coreProperties>
</file>