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B9" w:rsidRPr="00AA1A15" w:rsidRDefault="00AA1A15" w:rsidP="00C26FC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1A15"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="00422177">
        <w:rPr>
          <w:rFonts w:ascii="Times New Roman" w:hAnsi="Times New Roman" w:cs="Times New Roman"/>
          <w:b/>
          <w:sz w:val="28"/>
          <w:szCs w:val="28"/>
        </w:rPr>
        <w:t>331.103.15</w:t>
      </w:r>
    </w:p>
    <w:p w:rsidR="00AA1A15" w:rsidRDefault="00AA1A15" w:rsidP="00AA1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24BD">
        <w:rPr>
          <w:rFonts w:ascii="Times New Roman" w:eastAsia="Times New Roman" w:hAnsi="Times New Roman" w:cs="Times New Roman"/>
          <w:b/>
          <w:sz w:val="28"/>
          <w:szCs w:val="28"/>
        </w:rPr>
        <w:t>ОЦІНКА ЕФЕКТИВНОСТІ ПРАЦІ НА ОСНОВІ ВИКОРИСТАННЯ ВИРОБНИЧИХ ФУНКЦІЙ</w:t>
      </w:r>
    </w:p>
    <w:p w:rsidR="00AA1A15" w:rsidRDefault="00AA1A15" w:rsidP="00AA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1A15" w:rsidRDefault="00AA1A15" w:rsidP="00AA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О.В. МОРОЗ</w:t>
      </w:r>
      <w:r w:rsidR="00392FF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д.е.н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., проф., Б.Є. ГРАБОВЕЦЬКИЙ</w:t>
      </w:r>
      <w:r w:rsidR="00392FF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к.е.н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., доц., </w:t>
      </w:r>
    </w:p>
    <w:p w:rsidR="00AA1A15" w:rsidRDefault="00AA1A15" w:rsidP="00AA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МІРОНОВА</w:t>
      </w:r>
    </w:p>
    <w:p w:rsidR="00AA1A15" w:rsidRDefault="00AA1A15" w:rsidP="00AA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Вінницький національний технічний університет</w:t>
      </w:r>
    </w:p>
    <w:p w:rsidR="00AA1A15" w:rsidRDefault="00AA1A15" w:rsidP="00AA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2DD" w:rsidRPr="001332DD" w:rsidRDefault="00970DAE" w:rsidP="001332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Досліджено ефективність праці на основі використання економіко-</w:t>
      </w:r>
      <w:r w:rsidR="001332DD">
        <w:rPr>
          <w:rFonts w:ascii="Times New Roman" w:hAnsi="Times New Roman" w:cs="Times New Roman"/>
          <w:i/>
          <w:sz w:val="28"/>
          <w:szCs w:val="28"/>
        </w:rPr>
        <w:t>математичних методів та моделей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332DD">
        <w:rPr>
          <w:rFonts w:ascii="Times New Roman" w:hAnsi="Times New Roman" w:cs="Times New Roman"/>
          <w:i/>
          <w:sz w:val="28"/>
          <w:szCs w:val="28"/>
        </w:rPr>
        <w:t>Побудовано виробничу функцію, яка дозволить виявити зв’язки між продуктивністю праці та основними фондами і оборотними фондами, та побудувати відповідні прогнози</w:t>
      </w:r>
      <w:r w:rsidR="001332DD" w:rsidRPr="001332DD">
        <w:rPr>
          <w:rFonts w:ascii="Times New Roman" w:hAnsi="Times New Roman" w:cs="Times New Roman"/>
          <w:i/>
          <w:sz w:val="28"/>
          <w:szCs w:val="28"/>
        </w:rPr>
        <w:t>, на основі яких можливе проведення стратегічного аналізу.</w:t>
      </w:r>
    </w:p>
    <w:p w:rsidR="00AA1A15" w:rsidRDefault="00AA1A15" w:rsidP="00432C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282A" w:rsidRDefault="005477F2" w:rsidP="00212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444">
        <w:rPr>
          <w:rFonts w:ascii="Times New Roman" w:hAnsi="Times New Roman" w:cs="Times New Roman"/>
          <w:sz w:val="28"/>
          <w:szCs w:val="28"/>
        </w:rPr>
        <w:t xml:space="preserve">Досягнення </w:t>
      </w:r>
      <w:r>
        <w:rPr>
          <w:rFonts w:ascii="Times New Roman" w:hAnsi="Times New Roman" w:cs="Times New Roman"/>
          <w:sz w:val="28"/>
          <w:szCs w:val="28"/>
        </w:rPr>
        <w:t>багатьох наук на сучасному етапі розвитку людства пояснюється неперервним і прогресуючим процесом математизації знань. Проникнення математичних методів в економічні дослідження сприяє значному розширенню і, що дуже суттєво, вдосконаленню методичного апарату. У сучасному розумінні математизація науки виражається у тому, що математичні методи повинні забезпечити пошук нових закономірностей і тенденцій, поглиблення досліджень об’єктів пізнання, відшукання нових істин.</w:t>
      </w:r>
      <w:r w:rsidR="0021282A">
        <w:rPr>
          <w:rFonts w:ascii="Times New Roman" w:hAnsi="Times New Roman" w:cs="Times New Roman"/>
          <w:sz w:val="28"/>
          <w:szCs w:val="28"/>
        </w:rPr>
        <w:t xml:space="preserve"> Необхідними умовами процесу математизації знань є </w:t>
      </w:r>
      <w:r w:rsidR="0021282A" w:rsidRPr="00025D79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21282A">
        <w:rPr>
          <w:rFonts w:ascii="Times New Roman" w:hAnsi="Times New Roman" w:cs="Times New Roman"/>
          <w:sz w:val="28"/>
          <w:szCs w:val="28"/>
        </w:rPr>
        <w:t>готовність</w:t>
      </w:r>
      <w:r w:rsidR="0021282A" w:rsidRPr="00025D79">
        <w:rPr>
          <w:rFonts w:ascii="Times New Roman" w:hAnsi="Times New Roman" w:cs="Times New Roman"/>
          <w:sz w:val="28"/>
          <w:szCs w:val="28"/>
        </w:rPr>
        <w:t>”</w:t>
      </w:r>
      <w:proofErr w:type="spellEnd"/>
      <w:r w:rsidR="0021282A" w:rsidRPr="00025D79">
        <w:rPr>
          <w:rFonts w:ascii="Times New Roman" w:hAnsi="Times New Roman" w:cs="Times New Roman"/>
          <w:sz w:val="28"/>
          <w:szCs w:val="28"/>
        </w:rPr>
        <w:t xml:space="preserve"> до </w:t>
      </w:r>
      <w:r w:rsidR="0021282A" w:rsidRPr="00203444">
        <w:rPr>
          <w:rFonts w:ascii="Times New Roman" w:hAnsi="Times New Roman" w:cs="Times New Roman"/>
          <w:sz w:val="28"/>
          <w:szCs w:val="28"/>
        </w:rPr>
        <w:t>цього</w:t>
      </w:r>
      <w:r w:rsidR="0021282A" w:rsidRPr="00025D79">
        <w:rPr>
          <w:rFonts w:ascii="Times New Roman" w:hAnsi="Times New Roman" w:cs="Times New Roman"/>
          <w:sz w:val="28"/>
          <w:szCs w:val="28"/>
        </w:rPr>
        <w:t xml:space="preserve"> </w:t>
      </w:r>
      <w:r w:rsidR="0021282A" w:rsidRPr="00203444">
        <w:rPr>
          <w:rFonts w:ascii="Times New Roman" w:hAnsi="Times New Roman" w:cs="Times New Roman"/>
          <w:sz w:val="28"/>
          <w:szCs w:val="28"/>
        </w:rPr>
        <w:t>конкретної</w:t>
      </w:r>
      <w:r w:rsidR="0021282A" w:rsidRPr="00025D79">
        <w:rPr>
          <w:rFonts w:ascii="Times New Roman" w:hAnsi="Times New Roman" w:cs="Times New Roman"/>
          <w:sz w:val="28"/>
          <w:szCs w:val="28"/>
        </w:rPr>
        <w:t xml:space="preserve"> науки, під чим насамперед розуміється рівень і зрілість теоретичних основ, наявність відповідного понятійного </w:t>
      </w:r>
      <w:r w:rsidR="0021282A">
        <w:rPr>
          <w:rFonts w:ascii="Times New Roman" w:hAnsi="Times New Roman" w:cs="Times New Roman"/>
          <w:sz w:val="28"/>
          <w:szCs w:val="28"/>
        </w:rPr>
        <w:t>а</w:t>
      </w:r>
      <w:r w:rsidR="0021282A" w:rsidRPr="00025D79">
        <w:rPr>
          <w:rFonts w:ascii="Times New Roman" w:hAnsi="Times New Roman" w:cs="Times New Roman"/>
          <w:sz w:val="28"/>
          <w:szCs w:val="28"/>
        </w:rPr>
        <w:t xml:space="preserve">парату, що дозволяє сконструювати певні </w:t>
      </w:r>
      <w:r w:rsidR="0021282A">
        <w:rPr>
          <w:rFonts w:ascii="Times New Roman" w:hAnsi="Times New Roman" w:cs="Times New Roman"/>
          <w:sz w:val="28"/>
          <w:szCs w:val="28"/>
        </w:rPr>
        <w:t>зв’язки і співвідношення</w:t>
      </w:r>
      <w:r w:rsidR="0021282A" w:rsidRPr="00025D79">
        <w:rPr>
          <w:rFonts w:ascii="Times New Roman" w:hAnsi="Times New Roman" w:cs="Times New Roman"/>
          <w:sz w:val="28"/>
          <w:szCs w:val="28"/>
        </w:rPr>
        <w:t>,</w:t>
      </w:r>
      <w:r w:rsidR="0021282A">
        <w:rPr>
          <w:rFonts w:ascii="Times New Roman" w:hAnsi="Times New Roman" w:cs="Times New Roman"/>
          <w:sz w:val="28"/>
          <w:szCs w:val="28"/>
        </w:rPr>
        <w:t xml:space="preserve"> як у середині явища, так і між явищами. Це дозволить формалізувати ці зв’язки та співвідношення.</w:t>
      </w:r>
    </w:p>
    <w:p w:rsidR="002856DB" w:rsidRDefault="002856DB" w:rsidP="00285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Головним фактором процесу суспільного відтворення виступає жива праця – найбільш активний, вирішальний фактор виробництва. Кадровий персонал відіграє провідну роль у розв’язанні науково-технічних, виробничих, організаційних, економічних і соціальних завдань господарювання.</w:t>
      </w:r>
    </w:p>
    <w:p w:rsidR="00E92430" w:rsidRDefault="002856DB" w:rsidP="00285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Забезпеченість підприємства необхідними трудовими ресурсами, їх раціональне використання сприяє підвищенню рівня продуктивності праці. Підвищення рівня продуктивності праці вважається загальноприйнятим об’єктивним законом в економіці. Причому цей закон є законом розвитку суспільства. Саме тому в усіх країнах збільшенню рівня продуктивності праці надається велика увага, причому як на макрорівні, так і на макрорівні </w:t>
      </w:r>
      <w:r w:rsidR="00863F3C">
        <w:rPr>
          <w:rFonts w:ascii="Times New Roman" w:hAnsi="Times New Roman" w:cs="Times New Roman"/>
          <w:sz w:val="28"/>
        </w:rPr>
        <w:t>[1</w:t>
      </w:r>
      <w:r w:rsidRPr="00737CC9">
        <w:rPr>
          <w:rFonts w:ascii="Times New Roman" w:hAnsi="Times New Roman" w:cs="Times New Roman"/>
          <w:sz w:val="28"/>
        </w:rPr>
        <w:t>].</w:t>
      </w:r>
      <w:r w:rsidR="00854BE9">
        <w:rPr>
          <w:rFonts w:ascii="Times New Roman" w:hAnsi="Times New Roman" w:cs="Times New Roman"/>
          <w:sz w:val="28"/>
        </w:rPr>
        <w:t xml:space="preserve"> </w:t>
      </w:r>
    </w:p>
    <w:p w:rsidR="002856DB" w:rsidRPr="00497758" w:rsidRDefault="00E92430" w:rsidP="00285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Вищезазначене обумовило мету даної роботи – побудувати виробничу функцію для оцінки рівня ефективності праці на підприємстві. </w:t>
      </w:r>
      <w:r w:rsidR="00854BE9">
        <w:rPr>
          <w:rFonts w:ascii="Times New Roman" w:hAnsi="Times New Roman" w:cs="Times New Roman"/>
          <w:sz w:val="28"/>
        </w:rPr>
        <w:t>Важливим завданням постає підвищення рівня ефективності праці на основі використання математичних методів та моделей.</w:t>
      </w:r>
    </w:p>
    <w:p w:rsidR="0021282A" w:rsidRDefault="00964718" w:rsidP="002128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718">
        <w:rPr>
          <w:rFonts w:ascii="Times New Roman" w:hAnsi="Times New Roman" w:cs="Times New Roman"/>
          <w:b/>
          <w:sz w:val="28"/>
          <w:szCs w:val="28"/>
        </w:rPr>
        <w:t>Методика досліджень</w:t>
      </w:r>
    </w:p>
    <w:p w:rsidR="00854BE9" w:rsidRDefault="00854BE9" w:rsidP="00854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Використання математичних методів і особливо тих методів, що ґрунтуються на методології вищої математики, пов’язано, зазвичай, з моделюванням економічних процесів. Сукупність моделей, які </w:t>
      </w:r>
      <w:r>
        <w:rPr>
          <w:rFonts w:ascii="Times New Roman" w:hAnsi="Times New Roman" w:cs="Times New Roman"/>
          <w:sz w:val="28"/>
          <w:szCs w:val="28"/>
        </w:rPr>
        <w:lastRenderedPageBreak/>
        <w:t>використовуються в економічних дослідженнях, залежно від форми зв’язку поділяються на детерміновані і стохастичні. Одним із різновидів стохастичних моделей є виробничі функції.</w:t>
      </w:r>
    </w:p>
    <w:p w:rsidR="00854BE9" w:rsidRDefault="00854BE9" w:rsidP="00854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Більшість виробничих функцій відносяться до класу статистичних моделей. Вони виникли і розвиваються на основі методів кореляції і регресії та є логічним продовженням останніх. Використовуючи основні положення кореляційно-регресійного аналізу, апарат виробничої функції у певній мірі удосконалює останні, піднімає на якісно нову ступінь.</w:t>
      </w:r>
    </w:p>
    <w:p w:rsid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Ідея розробки і генезис рівняння виробничої функції ґрунтується на використанні одного із основних положень економічної теорії – створення матеріальних благ. Складний процес створення матеріальних благ через кількісні взаємозв’язки </w:t>
      </w:r>
      <w:r w:rsidRPr="00C2214C">
        <w:rPr>
          <w:rFonts w:ascii="Times New Roman" w:hAnsi="Times New Roman" w:cs="Times New Roman"/>
          <w:sz w:val="28"/>
          <w:szCs w:val="28"/>
        </w:rPr>
        <w:t xml:space="preserve">продукту праці та ресурсів описується єдиним рівнянням, яке отримало назву “Виробничої </w:t>
      </w:r>
      <w:proofErr w:type="spellStart"/>
      <w:r w:rsidRPr="00C2214C">
        <w:rPr>
          <w:rFonts w:ascii="Times New Roman" w:hAnsi="Times New Roman" w:cs="Times New Roman"/>
          <w:sz w:val="28"/>
          <w:szCs w:val="28"/>
        </w:rPr>
        <w:t>функції”</w:t>
      </w:r>
      <w:proofErr w:type="spellEnd"/>
      <w:r w:rsidRPr="00C2214C">
        <w:rPr>
          <w:rFonts w:ascii="Times New Roman" w:hAnsi="Times New Roman" w:cs="Times New Roman"/>
          <w:sz w:val="28"/>
          <w:szCs w:val="28"/>
        </w:rPr>
        <w:t>.</w:t>
      </w:r>
    </w:p>
    <w:p w:rsid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Вперше виробнича функція була побудована американськими дослідниками Ч.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Коббом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П. Дугласом у 1928 році на підставі даних економіки США за 1899-1922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A616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863F3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A6163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Побудована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виробнича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функція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уявляє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собою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двофакторну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модель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залежності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обсягу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використаних</w:t>
      </w:r>
      <w:proofErr w:type="spellEnd"/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2214C">
        <w:rPr>
          <w:rFonts w:ascii="Times New Roman" w:hAnsi="Times New Roman" w:cs="Times New Roman"/>
          <w:sz w:val="28"/>
          <w:szCs w:val="28"/>
          <w:lang w:val="ru-RU"/>
        </w:rPr>
        <w:t>ресурсі</w:t>
      </w:r>
      <w:proofErr w:type="gramStart"/>
      <w:r w:rsidRPr="00C2214C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2214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Y</m:t>
        </m:r>
        <m:r>
          <w:rPr>
            <w:rFonts w:ascii="Cambria Math" w:hAnsi="Times New Roman" w:cs="Times New Roman"/>
            <w:sz w:val="28"/>
            <w:szCs w:val="28"/>
            <w:lang w:val="ru-RU"/>
          </w:rPr>
          <m:t>=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γ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L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α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β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ru-RU"/>
          </w:rPr>
          <m:t>,</m:t>
        </m:r>
      </m:oMath>
      <w:r w:rsidRPr="00C2214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(1)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4C">
        <w:rPr>
          <w:rFonts w:ascii="Times New Roman" w:hAnsi="Times New Roman" w:cs="Times New Roman"/>
          <w:sz w:val="28"/>
          <w:szCs w:val="28"/>
        </w:rPr>
        <w:t xml:space="preserve">де </w:t>
      </w:r>
      <w:r w:rsidRPr="00C2214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2214C">
        <w:rPr>
          <w:rFonts w:ascii="Times New Roman" w:hAnsi="Times New Roman" w:cs="Times New Roman"/>
          <w:sz w:val="28"/>
          <w:szCs w:val="28"/>
        </w:rPr>
        <w:t xml:space="preserve"> - обсяг виготовленої продукції;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4C">
        <w:rPr>
          <w:rFonts w:ascii="Times New Roman" w:hAnsi="Times New Roman" w:cs="Times New Roman"/>
          <w:sz w:val="28"/>
          <w:szCs w:val="28"/>
        </w:rPr>
        <w:t xml:space="preserve">    </w:t>
      </w:r>
      <w:r w:rsidRPr="00C2214C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C2214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2214C">
        <w:rPr>
          <w:rFonts w:ascii="Times New Roman" w:hAnsi="Times New Roman" w:cs="Times New Roman"/>
          <w:sz w:val="28"/>
          <w:szCs w:val="28"/>
        </w:rPr>
        <w:t>витрати</w:t>
      </w:r>
      <w:proofErr w:type="gramEnd"/>
      <w:r w:rsidRPr="00C2214C">
        <w:rPr>
          <w:rFonts w:ascii="Times New Roman" w:hAnsi="Times New Roman" w:cs="Times New Roman"/>
          <w:sz w:val="28"/>
          <w:szCs w:val="28"/>
        </w:rPr>
        <w:t xml:space="preserve"> трудових ресурсів;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4C">
        <w:rPr>
          <w:rFonts w:ascii="Times New Roman" w:hAnsi="Times New Roman" w:cs="Times New Roman"/>
          <w:sz w:val="28"/>
          <w:szCs w:val="28"/>
        </w:rPr>
        <w:t xml:space="preserve">    </w:t>
      </w:r>
      <w:r w:rsidRPr="00C2214C">
        <w:rPr>
          <w:rFonts w:ascii="Times New Roman" w:hAnsi="Times New Roman" w:cs="Times New Roman"/>
          <w:i/>
          <w:sz w:val="28"/>
          <w:szCs w:val="28"/>
        </w:rPr>
        <w:t>К</w:t>
      </w:r>
      <w:r w:rsidRPr="00C2214C">
        <w:rPr>
          <w:rFonts w:ascii="Times New Roman" w:hAnsi="Times New Roman" w:cs="Times New Roman"/>
          <w:sz w:val="28"/>
          <w:szCs w:val="28"/>
        </w:rPr>
        <w:t xml:space="preserve"> – обсяг функціонуючих виробничих фондів;</w:t>
      </w:r>
    </w:p>
    <w:p w:rsidR="00C2214C" w:rsidRPr="00C2214C" w:rsidRDefault="00C2214C" w:rsidP="00C221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4C">
        <w:rPr>
          <w:rFonts w:ascii="Times New Roman" w:hAnsi="Times New Roman" w:cs="Times New Roman"/>
          <w:sz w:val="28"/>
          <w:szCs w:val="28"/>
        </w:rPr>
        <w:t xml:space="preserve">    </w:t>
      </w:r>
      <w:r w:rsidRPr="00C2214C">
        <w:rPr>
          <w:rFonts w:ascii="Times New Roman" w:hAnsi="Times New Roman" w:cs="Times New Roman"/>
          <w:i/>
          <w:sz w:val="28"/>
          <w:szCs w:val="28"/>
        </w:rPr>
        <w:t>γ, α, β</w:t>
      </w:r>
      <w:r w:rsidRPr="00C2214C">
        <w:rPr>
          <w:rFonts w:ascii="Times New Roman" w:hAnsi="Times New Roman" w:cs="Times New Roman"/>
          <w:sz w:val="28"/>
          <w:szCs w:val="28"/>
        </w:rPr>
        <w:t xml:space="preserve"> – параметри виробничої функції.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наукових дослідженнях визначились два напрями у тлумаченні сутності виробничої функції. Одна група авторів визначає виробничу функцію як залежність кінцевого продукту від затрат робочої сили, основних і виробничих фондів та технічного прогресу </w:t>
      </w:r>
      <w:r w:rsidR="00863F3C">
        <w:rPr>
          <w:rFonts w:ascii="Times New Roman" w:hAnsi="Times New Roman" w:cs="Times New Roman"/>
          <w:sz w:val="28"/>
          <w:szCs w:val="28"/>
        </w:rPr>
        <w:t>[3; 4; 5</w:t>
      </w:r>
      <w:r w:rsidRPr="00DA407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079">
        <w:rPr>
          <w:rFonts w:ascii="Times New Roman" w:hAnsi="Times New Roman" w:cs="Times New Roman"/>
          <w:sz w:val="28"/>
          <w:szCs w:val="28"/>
        </w:rPr>
        <w:t>.Інша вважає, що таке</w:t>
      </w:r>
      <w:r>
        <w:rPr>
          <w:rFonts w:ascii="Times New Roman" w:hAnsi="Times New Roman" w:cs="Times New Roman"/>
          <w:sz w:val="28"/>
          <w:szCs w:val="28"/>
        </w:rPr>
        <w:t xml:space="preserve"> трактування поняття виробничої функції є дещо звуженим, оскільки за його рамки виходять зв’язки і залежності між рядом інших економічних величин. Так, указане першою групою визначення виробничої функції ототожнюється з поняттям </w:t>
      </w:r>
      <w:r w:rsidRPr="005418EC">
        <w:rPr>
          <w:rFonts w:ascii="Times New Roman" w:hAnsi="Times New Roman" w:cs="Times New Roman"/>
          <w:sz w:val="28"/>
          <w:szCs w:val="28"/>
        </w:rPr>
        <w:t>“функці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випуску</w:t>
      </w:r>
      <w:r w:rsidRPr="005418EC">
        <w:rPr>
          <w:rFonts w:ascii="Times New Roman" w:hAnsi="Times New Roman" w:cs="Times New Roman"/>
          <w:sz w:val="28"/>
          <w:szCs w:val="28"/>
        </w:rPr>
        <w:t>”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 тому пропонується позначати виробничими функціями всі зв’язки і залежності, що зустрічаються в економіці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 w:rsidR="00863F3C">
        <w:rPr>
          <w:rFonts w:ascii="Times New Roman" w:hAnsi="Times New Roman" w:cs="Times New Roman"/>
          <w:sz w:val="28"/>
          <w:szCs w:val="28"/>
        </w:rPr>
        <w:t>6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Виробнича функція визначається також як економіко-математичний вираз залежності результатів виробничої діяльності від факторів, що обумовлюють ці результати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Відтак, перша група авторів розглядає поняття виробничої функції у вузькому смислі, друга – у широкому смислі. Існує також точка зору розглядати поняття виробничої функції як у широкому, так і у вузькому смислі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 w:rsidR="00863F3C">
        <w:rPr>
          <w:rFonts w:ascii="Times New Roman" w:hAnsi="Times New Roman" w:cs="Times New Roman"/>
          <w:sz w:val="28"/>
          <w:szCs w:val="28"/>
        </w:rPr>
        <w:t>8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нашу думку, в економічних дослідженнях доцільно розглядати поняття виробничої функції у широкому смислі, що дозволить розширити коло показників, для яких можна використати зазначений апарат дослідження.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Виходячи від цієї тези, у залежності від економічного змісту досліджуваного показника можна надати відповідно назву будь-якій функції, зокрема: функція випуску, функція продуктивності праці, функція собівартості, функція рентабельності тощо.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Власне, не акцентуючи увагу на класифікації виробничих функцій, такої термінології дотримуються й інші автори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 w:rsidR="00863F3C">
        <w:rPr>
          <w:rFonts w:ascii="Times New Roman" w:hAnsi="Times New Roman" w:cs="Times New Roman"/>
          <w:sz w:val="28"/>
          <w:szCs w:val="28"/>
        </w:rPr>
        <w:t>9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Варто зауважити, що після певного затишшя, проблемам теорії, методології й використання виробничої функції нині знову приділяється значна увага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="00863F3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 1</w:t>
      </w:r>
      <w:r w:rsidR="00863F3C">
        <w:rPr>
          <w:rFonts w:ascii="Times New Roman" w:hAnsi="Times New Roman" w:cs="Times New Roman"/>
          <w:sz w:val="28"/>
          <w:szCs w:val="28"/>
        </w:rPr>
        <w:t>1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</w:p>
    <w:p w:rsidR="007C07C8" w:rsidRDefault="007C07C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Ретельний аналіз видань, присвячених питанням розвитку і вдосконаленню виробничих функцій свідчить, що головна увага в них приділяється переважно макрорівню (народне господарство; окремі його сфери – промисловість, сільське господарство, транспорт; регіони і навіть комплексні галузі). Водночас недостатньо представлені дослідження виробничих функцій на макрорівні, незважаючи на те, що для цього є значні важливості. Як виняток, варто зазначити дослідження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бурякоцукровій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олійножировій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промисловості </w:t>
      </w:r>
      <w:r w:rsidRPr="00DA4079">
        <w:rPr>
          <w:rFonts w:ascii="Times New Roman" w:hAnsi="Times New Roman" w:cs="Times New Roman"/>
          <w:sz w:val="28"/>
          <w:szCs w:val="28"/>
        </w:rPr>
        <w:t>[</w:t>
      </w:r>
      <w:r w:rsidR="00863F3C">
        <w:rPr>
          <w:rFonts w:ascii="Times New Roman" w:hAnsi="Times New Roman" w:cs="Times New Roman"/>
          <w:sz w:val="28"/>
          <w:szCs w:val="28"/>
        </w:rPr>
        <w:t>12</w:t>
      </w:r>
      <w:r w:rsidRPr="00DA4079">
        <w:rPr>
          <w:rFonts w:ascii="Times New Roman" w:hAnsi="Times New Roman" w:cs="Times New Roman"/>
          <w:sz w:val="28"/>
          <w:szCs w:val="28"/>
        </w:rPr>
        <w:t>].</w:t>
      </w:r>
    </w:p>
    <w:p w:rsidR="00E758F8" w:rsidRPr="00E758F8" w:rsidRDefault="00E758F8" w:rsidP="007C07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8F8">
        <w:rPr>
          <w:rFonts w:ascii="Times New Roman" w:hAnsi="Times New Roman" w:cs="Times New Roman"/>
          <w:b/>
          <w:sz w:val="28"/>
          <w:szCs w:val="28"/>
        </w:rPr>
        <w:t>Результати досліджень</w:t>
      </w:r>
    </w:p>
    <w:p w:rsidR="008D2C83" w:rsidRDefault="008D2C83" w:rsidP="008D2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вищенаведене, розглянемо приклад побудови і дослідження мікроекономічної виробничої функції продуктивності праці (функція продуктивності праці). Для проведення дослідження використані дані підприємства за 2000-2008р.р.</w:t>
      </w:r>
    </w:p>
    <w:p w:rsidR="00AD5E84" w:rsidRPr="00AD5E84" w:rsidRDefault="00AD5E84" w:rsidP="00AD5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84">
        <w:rPr>
          <w:rFonts w:ascii="Times New Roman" w:hAnsi="Times New Roman" w:cs="Times New Roman"/>
          <w:sz w:val="28"/>
          <w:szCs w:val="28"/>
        </w:rPr>
        <w:t>Якщо ліву і праву частини функції випуску розділити на х</w:t>
      </w:r>
      <w:r w:rsidRPr="00AD5E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D5E84">
        <w:rPr>
          <w:rFonts w:ascii="Times New Roman" w:hAnsi="Times New Roman" w:cs="Times New Roman"/>
          <w:sz w:val="28"/>
          <w:szCs w:val="28"/>
        </w:rPr>
        <w:t xml:space="preserve"> – чисельність працюючих, то отримаємо нове рівняння, яке виражає залежність продуктивності праці від оснащеності працівників основними і оборотними фондами, тобто:</w:t>
      </w:r>
    </w:p>
    <w:p w:rsidR="00AD5E84" w:rsidRPr="00AD5E84" w:rsidRDefault="00AD5E84" w:rsidP="00AD5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8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ln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</m:t>
                </m:r>
              </m:sub>
            </m:sSub>
          </m:e>
        </m:func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e>
        </m:func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e>
        </m:func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AD5E8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C7CB7">
        <w:rPr>
          <w:rFonts w:ascii="Times New Roman" w:hAnsi="Times New Roman" w:cs="Times New Roman"/>
          <w:sz w:val="28"/>
          <w:szCs w:val="28"/>
        </w:rPr>
        <w:t xml:space="preserve">     (2</w:t>
      </w:r>
      <w:r w:rsidRPr="00AD5E84">
        <w:rPr>
          <w:rFonts w:ascii="Times New Roman" w:hAnsi="Times New Roman" w:cs="Times New Roman"/>
          <w:sz w:val="28"/>
          <w:szCs w:val="28"/>
        </w:rPr>
        <w:t>)</w:t>
      </w:r>
    </w:p>
    <w:p w:rsidR="00AD5E84" w:rsidRPr="00AD5E84" w:rsidRDefault="00AD5E84" w:rsidP="00AD5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84">
        <w:rPr>
          <w:rFonts w:ascii="Times New Roman" w:hAnsi="Times New Roman" w:cs="Times New Roman"/>
          <w:sz w:val="28"/>
          <w:szCs w:val="28"/>
        </w:rPr>
        <w:t>де</w:t>
      </w:r>
      <w:r w:rsidRPr="00AD5E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5E84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AD5E8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D5E84">
        <w:rPr>
          <w:rFonts w:ascii="Times New Roman" w:hAnsi="Times New Roman" w:cs="Times New Roman"/>
          <w:sz w:val="28"/>
          <w:szCs w:val="28"/>
        </w:rPr>
        <w:t>виробіток продукції на одного працюючого;</w:t>
      </w:r>
    </w:p>
    <w:p w:rsidR="00AD5E84" w:rsidRPr="00AD5E84" w:rsidRDefault="00AD5E84" w:rsidP="00AD5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84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AD5E8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5E8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1</w:t>
      </w:r>
      <w:r w:rsidRPr="00AD5E84">
        <w:rPr>
          <w:rFonts w:ascii="Times New Roman" w:hAnsi="Times New Roman" w:cs="Times New Roman"/>
          <w:sz w:val="28"/>
          <w:szCs w:val="28"/>
        </w:rPr>
        <w:t xml:space="preserve"> – озброєність одного працюючого основними фондами;</w:t>
      </w:r>
    </w:p>
    <w:p w:rsidR="00AD5E84" w:rsidRPr="00AD5E84" w:rsidRDefault="00AD5E84" w:rsidP="00AD5E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84">
        <w:rPr>
          <w:rFonts w:ascii="Times New Roman" w:hAnsi="Times New Roman" w:cs="Times New Roman"/>
          <w:i/>
          <w:sz w:val="28"/>
          <w:szCs w:val="28"/>
        </w:rPr>
        <w:t xml:space="preserve">    </w:t>
      </w:r>
      <w:proofErr w:type="gramStart"/>
      <w:r w:rsidRPr="00AD5E8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D5E84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AD5E84">
        <w:rPr>
          <w:rFonts w:ascii="Times New Roman" w:hAnsi="Times New Roman" w:cs="Times New Roman"/>
          <w:sz w:val="28"/>
          <w:szCs w:val="28"/>
        </w:rPr>
        <w:t xml:space="preserve"> – оснащеність одного працюючого оборотними фондами.</w:t>
      </w:r>
      <w:proofErr w:type="gramEnd"/>
    </w:p>
    <w:p w:rsidR="00AD5E84" w:rsidRPr="00AC297E" w:rsidRDefault="00AD5E84" w:rsidP="00AC29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7E">
        <w:rPr>
          <w:rFonts w:ascii="Times New Roman" w:hAnsi="Times New Roman" w:cs="Times New Roman"/>
          <w:sz w:val="28"/>
          <w:szCs w:val="28"/>
        </w:rPr>
        <w:t>У таблиці 1 наведені реалізовані на ПЕОМ параметри і статистичні характеристики функції продуктивності праці.</w:t>
      </w:r>
    </w:p>
    <w:p w:rsidR="00AC297E" w:rsidRPr="00AC297E" w:rsidRDefault="00AC297E" w:rsidP="00AC29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7E">
        <w:rPr>
          <w:rFonts w:ascii="Times New Roman" w:hAnsi="Times New Roman" w:cs="Times New Roman"/>
          <w:sz w:val="28"/>
          <w:szCs w:val="28"/>
        </w:rPr>
        <w:t xml:space="preserve">Відтак, після розрахунків первинних параметрів функція продуктивності праці за 2000-2008 </w:t>
      </w:r>
      <w:proofErr w:type="spellStart"/>
      <w:r w:rsidRPr="00AC297E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AC297E">
        <w:rPr>
          <w:rFonts w:ascii="Times New Roman" w:hAnsi="Times New Roman" w:cs="Times New Roman"/>
          <w:sz w:val="28"/>
          <w:szCs w:val="28"/>
        </w:rPr>
        <w:t>. набула такого вигляду:</w:t>
      </w:r>
    </w:p>
    <w:p w:rsidR="00AC297E" w:rsidRPr="00AC297E" w:rsidRDefault="00AC297E" w:rsidP="00AC297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C29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 ln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=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8,340</m:t>
            </m:r>
          </m:e>
        </m:func>
        <m:r>
          <w:rPr>
            <w:rFonts w:ascii="Cambria Math" w:hAnsi="Times New Roman" w:cs="Times New Roman"/>
            <w:sz w:val="28"/>
            <w:szCs w:val="28"/>
          </w:rPr>
          <m:t>+2,650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sub>
            </m:sSub>
          </m:e>
        </m:func>
        <m:r>
          <w:rPr>
            <w:rFonts w:ascii="Cambria Math" w:hAnsi="Times New Roman" w:cs="Times New Roman"/>
            <w:sz w:val="28"/>
            <w:szCs w:val="28"/>
          </w:rPr>
          <m:t>+1,143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e>
        </m:func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="00FC7CB7">
        <w:rPr>
          <w:rFonts w:ascii="Times New Roman" w:hAnsi="Times New Roman" w:cs="Times New Roman"/>
          <w:sz w:val="28"/>
          <w:szCs w:val="28"/>
        </w:rPr>
        <w:t xml:space="preserve">                  (3</w:t>
      </w:r>
      <w:r w:rsidRPr="00AC297E">
        <w:rPr>
          <w:rFonts w:ascii="Times New Roman" w:hAnsi="Times New Roman" w:cs="Times New Roman"/>
          <w:sz w:val="28"/>
          <w:szCs w:val="28"/>
        </w:rPr>
        <w:t>)</w:t>
      </w:r>
    </w:p>
    <w:p w:rsidR="00AC297E" w:rsidRDefault="00AC297E" w:rsidP="00AC29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7E">
        <w:rPr>
          <w:rFonts w:ascii="Times New Roman" w:hAnsi="Times New Roman" w:cs="Times New Roman"/>
          <w:sz w:val="28"/>
          <w:szCs w:val="28"/>
        </w:rPr>
        <w:t>Використанню будь-якої виробничої функції в управлінні виробництвом передує оцінка логічної і статистичної адекватності рівняння.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Оскільки між фондоозброєністю (</w:t>
      </w:r>
      <w:r w:rsidRPr="00FC7CB7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FC7CB7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C7CB7">
        <w:rPr>
          <w:rFonts w:ascii="Times New Roman" w:hAnsi="Times New Roman" w:cs="Times New Roman"/>
          <w:sz w:val="28"/>
          <w:szCs w:val="28"/>
        </w:rPr>
        <w:t>) та оснащеністю працівника оборотними фондами (</w:t>
      </w:r>
      <w:r w:rsidRPr="00FC7CB7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FC7CB7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FC7CB7">
        <w:rPr>
          <w:rFonts w:ascii="Times New Roman" w:hAnsi="Times New Roman" w:cs="Times New Roman"/>
          <w:sz w:val="28"/>
          <w:szCs w:val="28"/>
        </w:rPr>
        <w:t>) існує прямий зв'язок, то додатні знаки при незалежних змінних свідчать про коректність рівняння (4) щодо його логічної адекватності.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Статистична адекватність означає відповідність значень статистичних характеристик рівняння умовно встановленим граничним величинам.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Так, значення множинного кореляційного відношення (η) для моделі (4) більше 0,8 свідчить про високу тісноту зв’язку між продуктивністю праці і факторами, що визначають її рівень (мінімально допустимий η≥0,7).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Середня помилка апроксимації значно менше граничного рівня (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ε</m:t>
            </m:r>
          </m:e>
        </m:acc>
      </m:oMath>
      <w:r w:rsidRPr="00FC7CB7">
        <w:rPr>
          <w:rFonts w:ascii="Times New Roman" w:hAnsi="Times New Roman" w:cs="Times New Roman"/>
          <w:sz w:val="28"/>
          <w:szCs w:val="28"/>
        </w:rPr>
        <w:t xml:space="preserve"> ≤10%).</w:t>
      </w:r>
    </w:p>
    <w:p w:rsidR="00971A0D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Таким чином, побудована функція продуктивності праці логічно і статистично адекватна, а відтак її можна використати в економічному аналізі.</w:t>
      </w:r>
    </w:p>
    <w:p w:rsidR="00971A0D" w:rsidRDefault="00971A0D" w:rsidP="00AD5E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D5E84" w:rsidRPr="00971A0D" w:rsidRDefault="00AD5E84" w:rsidP="00971A0D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1A0D">
        <w:rPr>
          <w:rFonts w:ascii="Times New Roman" w:hAnsi="Times New Roman" w:cs="Times New Roman"/>
          <w:sz w:val="28"/>
          <w:szCs w:val="28"/>
        </w:rPr>
        <w:lastRenderedPageBreak/>
        <w:t>Параметри і статистичні характеристики функції продуктивності праці</w:t>
      </w:r>
    </w:p>
    <w:tbl>
      <w:tblPr>
        <w:tblStyle w:val="a5"/>
        <w:tblW w:w="0" w:type="auto"/>
        <w:tblLook w:val="04A0"/>
      </w:tblPr>
      <w:tblGrid>
        <w:gridCol w:w="4077"/>
        <w:gridCol w:w="1701"/>
        <w:gridCol w:w="4076"/>
      </w:tblGrid>
      <w:tr w:rsidR="00AD5E84" w:rsidRPr="00AD5E84" w:rsidTr="00C41E6B"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Назва параметрів і характеристик рівняння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Умовне позначення</w:t>
            </w:r>
          </w:p>
        </w:tc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</w:p>
        </w:tc>
      </w:tr>
      <w:tr w:rsidR="00AD5E84" w:rsidRPr="00AD5E84" w:rsidTr="00C41E6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b/>
                <w:sz w:val="24"/>
                <w:szCs w:val="24"/>
              </w:rPr>
              <w:t>І Статистичні характеристики: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E84" w:rsidRPr="00AD5E84" w:rsidTr="00C41E6B">
        <w:tc>
          <w:tcPr>
            <w:tcW w:w="407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Множинне кореляційне відношення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η</w:t>
            </w:r>
          </w:p>
        </w:tc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0,847</w:t>
            </w:r>
          </w:p>
        </w:tc>
      </w:tr>
      <w:tr w:rsidR="00AD5E84" w:rsidRPr="00AD5E84" w:rsidTr="00C41E6B"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Середня помилка апроксимації, 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AD5E84" w:rsidRPr="00AD5E84" w:rsidRDefault="00240E3E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</m:acc>
              </m:oMath>
            </m:oMathPara>
          </w:p>
        </w:tc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AD5E84" w:rsidRPr="00AD5E84" w:rsidTr="00C41E6B">
        <w:tc>
          <w:tcPr>
            <w:tcW w:w="4077" w:type="dxa"/>
            <w:tcBorders>
              <w:top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b/>
                <w:sz w:val="24"/>
                <w:szCs w:val="24"/>
              </w:rPr>
              <w:t>ІІ Параметри рівняння: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7" w:type="dxa"/>
            <w:tcBorders>
              <w:top w:val="single" w:sz="4" w:space="0" w:color="auto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5E84" w:rsidRPr="00AD5E84" w:rsidTr="00C41E6B"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i/>
                <w:sz w:val="24"/>
                <w:szCs w:val="24"/>
              </w:rPr>
              <w:t>Первинні: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-8,340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2,650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1,143</w:t>
            </w:r>
          </w:p>
        </w:tc>
      </w:tr>
      <w:tr w:rsidR="00AD5E84" w:rsidRPr="00AD5E84" w:rsidTr="00C41E6B"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i/>
                <w:sz w:val="24"/>
                <w:szCs w:val="24"/>
              </w:rPr>
              <w:t>Вторинні: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E84" w:rsidRPr="00AD5E84" w:rsidTr="00C41E6B"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Гранична продуктивність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D5E84" w:rsidRPr="00AD5E84" w:rsidRDefault="00240E3E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/</m:t>
                    </m:r>
                    <m:box>
                      <m:boxPr>
                        <m:diff m:val="on"/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box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box>
                  </m:e>
                </m:box>
              </m:oMath>
            </m:oMathPara>
          </w:p>
          <w:p w:rsidR="00AD5E84" w:rsidRPr="00AD5E84" w:rsidRDefault="00240E3E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dy</m:t>
                    </m:r>
                  </m:e>
                </m:box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/</m:t>
                </m:r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e>
                </m:box>
              </m:oMath>
            </m:oMathPara>
          </w:p>
        </w:tc>
        <w:tc>
          <w:tcPr>
            <w:tcW w:w="4077" w:type="dxa"/>
            <w:tcBorders>
              <w:top w:val="nil"/>
              <w:bottom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10,781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5,957</w:t>
            </w:r>
          </w:p>
        </w:tc>
      </w:tr>
      <w:tr w:rsidR="00AD5E84" w:rsidRPr="00AD5E84" w:rsidTr="00C41E6B">
        <w:tc>
          <w:tcPr>
            <w:tcW w:w="4077" w:type="dxa"/>
            <w:tcBorders>
              <w:top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Β-коефіцієнт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</w:p>
          <w:p w:rsidR="00AD5E84" w:rsidRPr="00AD5E84" w:rsidRDefault="00AD5E84" w:rsidP="00AD5E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4077" w:type="dxa"/>
            <w:tcBorders>
              <w:top w:val="nil"/>
            </w:tcBorders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1,015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0,926</w:t>
            </w:r>
          </w:p>
        </w:tc>
      </w:tr>
      <w:tr w:rsidR="00AD5E84" w:rsidRPr="00AD5E84" w:rsidTr="00C41E6B"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b/>
                <w:sz w:val="24"/>
                <w:szCs w:val="24"/>
              </w:rPr>
              <w:t>ІІІ Показники варіації:</w:t>
            </w:r>
          </w:p>
        </w:tc>
        <w:tc>
          <w:tcPr>
            <w:tcW w:w="1701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E84" w:rsidRPr="00AD5E84" w:rsidTr="00C41E6B"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Середнє квадратичне відхилення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y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V1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V2</w:t>
            </w:r>
          </w:p>
        </w:tc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58,2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6,9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AD5E84" w:rsidRPr="00AD5E84" w:rsidTr="00C41E6B"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Коефіцієнт варіації, %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ν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y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ν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V1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</w:rPr>
              <w:t>ν</w:t>
            </w:r>
            <w:r w:rsidRPr="00AD5E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V2</w:t>
            </w:r>
          </w:p>
        </w:tc>
        <w:tc>
          <w:tcPr>
            <w:tcW w:w="4077" w:type="dxa"/>
            <w:vAlign w:val="center"/>
          </w:tcPr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11,8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5,8</w:t>
            </w:r>
          </w:p>
          <w:p w:rsidR="00AD5E84" w:rsidRPr="00AD5E84" w:rsidRDefault="00AD5E84" w:rsidP="00AD5E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</w:t>
            </w:r>
          </w:p>
        </w:tc>
      </w:tr>
    </w:tbl>
    <w:p w:rsidR="00AD5E84" w:rsidRDefault="00AD5E84" w:rsidP="008D2C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Коефіцієнти при невідомих у логарифмічних моделях є коефіцієнтами еластичності продуктивності праці за обсягами оснащеності працівників основними і оборотними фондами. Вони показують, на скільки процентів зміниться результативний показник (продуктивність праці) при зміні певного фактора на 1%.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Із наведеної функції продуктивності праці (4) випливає, що за досліджуваний період зростання фондоозброєності працівників на 1% забезпечило при інших рівних умовах збільшення продуктивності праці на 2,650 %; збільшення оснащеності оборотними фондами на 1% забезпечило зростання продуктивності праці на 1,143%.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Значний інтерес викликає аналіз абсолютної граничної ефективності факторів, що визначають рівень продуктивності праці.</w:t>
      </w:r>
      <w:r w:rsidR="004312D1">
        <w:rPr>
          <w:rFonts w:ascii="Times New Roman" w:hAnsi="Times New Roman" w:cs="Times New Roman"/>
          <w:sz w:val="28"/>
          <w:szCs w:val="28"/>
        </w:rPr>
        <w:t xml:space="preserve"> </w:t>
      </w:r>
      <w:r w:rsidRPr="00FC7CB7">
        <w:rPr>
          <w:rFonts w:ascii="Times New Roman" w:hAnsi="Times New Roman" w:cs="Times New Roman"/>
          <w:sz w:val="28"/>
          <w:szCs w:val="28"/>
        </w:rPr>
        <w:t>Згідно з наведеними у таблиці 1 даними, за досліджуваний період зростання фондоозброєності на 1 тис. грн.. сприяло зростанню продуктивності праці на 10,781 тис. грн. на одного працюючого; підвищення оснащеності працівника оборотними фондами на 1 тис. грн. сприяло зростанню продуктивності праці на 5,957 тис. грн.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Отже, як і очікувалося, на продуктивність праці в найбільшій мірі впливає озброєність праці основними фондами.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Значний вплив оснащеності праці оборотними фондами на рівень продуктивності праці пояснюється високою матеріалоємністю продукції кондитерської промисловості. Так, у обсязі витрат на виробництво виробничих фондів матеріальні ресурси становлять приблизно 91,0%.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 xml:space="preserve">Коефіцієнти еластичності та гранична продуктивність дещо абстрактно відображають ступінь впливу кожного фактора на досліджуваний показник, </w:t>
      </w:r>
      <w:r w:rsidRPr="00FC7CB7">
        <w:rPr>
          <w:rFonts w:ascii="Times New Roman" w:hAnsi="Times New Roman" w:cs="Times New Roman"/>
          <w:sz w:val="28"/>
          <w:szCs w:val="28"/>
        </w:rPr>
        <w:lastRenderedPageBreak/>
        <w:t xml:space="preserve">оскільки вони не враховують мінливість факторів і тим самим не дозволяють виявити реальні резерви виробництва. Для </w:t>
      </w:r>
      <w:proofErr w:type="spellStart"/>
      <w:r w:rsidRPr="00FC7CB7">
        <w:rPr>
          <w:rFonts w:ascii="Times New Roman" w:hAnsi="Times New Roman" w:cs="Times New Roman"/>
          <w:sz w:val="28"/>
          <w:szCs w:val="28"/>
        </w:rPr>
        <w:t>ув</w:t>
      </w:r>
      <w:proofErr w:type="spellEnd"/>
      <w:r w:rsidRPr="00FC7CB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FC7CB7">
        <w:rPr>
          <w:rFonts w:ascii="Times New Roman" w:hAnsi="Times New Roman" w:cs="Times New Roman"/>
          <w:sz w:val="28"/>
          <w:szCs w:val="28"/>
        </w:rPr>
        <w:t>язання</w:t>
      </w:r>
      <w:proofErr w:type="spellEnd"/>
      <w:r w:rsidRPr="00FC7CB7">
        <w:rPr>
          <w:rFonts w:ascii="Times New Roman" w:hAnsi="Times New Roman" w:cs="Times New Roman"/>
          <w:sz w:val="28"/>
          <w:szCs w:val="28"/>
        </w:rPr>
        <w:t xml:space="preserve"> ступеня впливу кожного фактора з його мінливістю, яка оцінюється за показниками варіації, визначається </w:t>
      </w:r>
      <w:r w:rsidRPr="00FC7CB7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FC7CB7">
        <w:rPr>
          <w:rFonts w:ascii="Times New Roman" w:hAnsi="Times New Roman" w:cs="Times New Roman"/>
          <w:sz w:val="28"/>
          <w:szCs w:val="28"/>
        </w:rPr>
        <w:t xml:space="preserve">- коефіцієнт. Абсолютне значення </w:t>
      </w:r>
      <w:r w:rsidRPr="00FC7CB7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FC7CB7">
        <w:rPr>
          <w:rFonts w:ascii="Times New Roman" w:hAnsi="Times New Roman" w:cs="Times New Roman"/>
          <w:sz w:val="28"/>
          <w:szCs w:val="28"/>
        </w:rPr>
        <w:t>- коефіцієнта позбавлено якісної визначеності, однак, там, де його величина максимальна, існує, зазвичай, найбільша можливість покращити досліджуваний показник.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B7">
        <w:rPr>
          <w:rFonts w:ascii="Times New Roman" w:hAnsi="Times New Roman" w:cs="Times New Roman"/>
          <w:sz w:val="28"/>
          <w:szCs w:val="28"/>
        </w:rPr>
        <w:t>Згідно даних таблиці 1, найбільші резерви зростання продуктивності праці закладені у фондоозброєності праці. β-коефіцієнт безпосередньо пов'язаний з мінливістю показників.</w:t>
      </w:r>
      <w:r w:rsidR="00061084">
        <w:rPr>
          <w:rFonts w:ascii="Times New Roman" w:hAnsi="Times New Roman" w:cs="Times New Roman"/>
          <w:sz w:val="28"/>
          <w:szCs w:val="28"/>
        </w:rPr>
        <w:t xml:space="preserve"> </w:t>
      </w:r>
      <w:r w:rsidRPr="00FC7CB7">
        <w:rPr>
          <w:rFonts w:ascii="Times New Roman" w:hAnsi="Times New Roman" w:cs="Times New Roman"/>
          <w:sz w:val="28"/>
          <w:szCs w:val="28"/>
        </w:rPr>
        <w:t>Як видно із даних таблиці 1, показники варіації (середнє квадратичне відхилення, коефіцієнт варіації) для озброєності праці значно вище у порівнянні з оснащеністю оборотними фондами.</w:t>
      </w:r>
    </w:p>
    <w:p w:rsidR="00FC7CB7" w:rsidRPr="00FC7CB7" w:rsidRDefault="00FC7CB7" w:rsidP="00FC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084" w:rsidRDefault="00061084" w:rsidP="000610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061084" w:rsidRPr="00FC7CB7" w:rsidRDefault="00061084" w:rsidP="00061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а</w:t>
      </w:r>
      <w:r w:rsidRPr="00FC7CB7">
        <w:rPr>
          <w:rFonts w:ascii="Times New Roman" w:hAnsi="Times New Roman" w:cs="Times New Roman"/>
          <w:sz w:val="28"/>
          <w:szCs w:val="28"/>
        </w:rPr>
        <w:t>наліз впливу окремих факторів на результативний показник не тільки розкриває причини його варіювання, але й дозволяє цілеспрямовано діяти на визначальні виробничі фактори для досягнення необхідного економічного ефекту. Перевага виробничих функцій не тільки обмежується проведенням факторного аналізу, а і дозволяє здійснити екстраполяцію даних, тобто побудувати прогнози, на основі яких можливе проведення стратегічного аналізу.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FF1">
        <w:rPr>
          <w:rFonts w:ascii="Times New Roman" w:hAnsi="Times New Roman" w:cs="Times New Roman"/>
          <w:sz w:val="28"/>
          <w:szCs w:val="28"/>
        </w:rPr>
        <w:t xml:space="preserve">Тому на основі побудованої функції продуктивності праці стає можливою якісна оцінка рівня ефективності праці для подальшої побудови стратегії управління персоналом на підприємстві. </w:t>
      </w:r>
    </w:p>
    <w:p w:rsidR="00061084" w:rsidRDefault="00061084" w:rsidP="000610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24C" w:rsidRDefault="0005224C" w:rsidP="000610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CB7" w:rsidRPr="005E11B0" w:rsidRDefault="005E11B0" w:rsidP="005E11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</w:p>
    <w:p w:rsid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</w:rPr>
      </w:pPr>
      <w:r w:rsidRPr="00FC7CB7">
        <w:rPr>
          <w:rFonts w:ascii="Times New Roman" w:hAnsi="Times New Roman" w:cs="Times New Roman"/>
          <w:sz w:val="28"/>
        </w:rPr>
        <w:t xml:space="preserve">Дмитренко Г.А., </w:t>
      </w:r>
      <w:proofErr w:type="spellStart"/>
      <w:r w:rsidRPr="00FC7CB7">
        <w:rPr>
          <w:rFonts w:ascii="Times New Roman" w:hAnsi="Times New Roman" w:cs="Times New Roman"/>
          <w:sz w:val="28"/>
        </w:rPr>
        <w:t>Шарапатова</w:t>
      </w:r>
      <w:proofErr w:type="spellEnd"/>
      <w:r w:rsidRPr="00FC7CB7">
        <w:rPr>
          <w:rFonts w:ascii="Times New Roman" w:hAnsi="Times New Roman" w:cs="Times New Roman"/>
          <w:sz w:val="28"/>
        </w:rPr>
        <w:t xml:space="preserve"> Е.А., Максименко Т.М. </w:t>
      </w:r>
      <w:proofErr w:type="spellStart"/>
      <w:r w:rsidRPr="00FC7CB7">
        <w:rPr>
          <w:rFonts w:ascii="Times New Roman" w:hAnsi="Times New Roman" w:cs="Times New Roman"/>
          <w:sz w:val="28"/>
        </w:rPr>
        <w:t>Мотивация</w:t>
      </w:r>
      <w:proofErr w:type="spellEnd"/>
      <w:r w:rsidRPr="00FC7CB7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FC7CB7">
        <w:rPr>
          <w:rFonts w:ascii="Times New Roman" w:hAnsi="Times New Roman" w:cs="Times New Roman"/>
          <w:sz w:val="28"/>
        </w:rPr>
        <w:t>оценка</w:t>
      </w:r>
      <w:proofErr w:type="spellEnd"/>
      <w:r w:rsidRPr="00FC7CB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C7CB7">
        <w:rPr>
          <w:rFonts w:ascii="Times New Roman" w:hAnsi="Times New Roman" w:cs="Times New Roman"/>
          <w:sz w:val="28"/>
        </w:rPr>
        <w:t>персонала</w:t>
      </w:r>
      <w:proofErr w:type="spellEnd"/>
      <w:r w:rsidRPr="00FC7CB7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FC7CB7">
        <w:rPr>
          <w:rFonts w:ascii="Times New Roman" w:hAnsi="Times New Roman" w:cs="Times New Roman"/>
          <w:sz w:val="28"/>
        </w:rPr>
        <w:t>Учеб</w:t>
      </w:r>
      <w:proofErr w:type="spellEnd"/>
      <w:r w:rsidRPr="00FC7CB7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FC7CB7">
        <w:rPr>
          <w:rFonts w:ascii="Times New Roman" w:hAnsi="Times New Roman" w:cs="Times New Roman"/>
          <w:sz w:val="28"/>
        </w:rPr>
        <w:t>пособие</w:t>
      </w:r>
      <w:proofErr w:type="spellEnd"/>
      <w:r w:rsidRPr="00FC7CB7">
        <w:rPr>
          <w:rFonts w:ascii="Times New Roman" w:hAnsi="Times New Roman" w:cs="Times New Roman"/>
          <w:sz w:val="28"/>
        </w:rPr>
        <w:t>. – К.: МАУП, 2002. – 248 с.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r w:rsidRPr="004312D1">
        <w:rPr>
          <w:rFonts w:ascii="Times New Roman" w:hAnsi="Times New Roman" w:cs="Times New Roman"/>
          <w:sz w:val="28"/>
          <w:szCs w:val="28"/>
          <w:lang w:val="en-US"/>
        </w:rPr>
        <w:t>Cobb C.W., Douglas P.H. Theory of Production // American Economic Review. Supplement</w:t>
      </w:r>
      <w:proofErr w:type="gramStart"/>
      <w:r w:rsidRPr="004312D1">
        <w:rPr>
          <w:rFonts w:ascii="Times New Roman" w:hAnsi="Times New Roman" w:cs="Times New Roman"/>
          <w:sz w:val="28"/>
          <w:szCs w:val="28"/>
          <w:lang w:val="en-US"/>
        </w:rPr>
        <w:t>,1928</w:t>
      </w:r>
      <w:proofErr w:type="gramEnd"/>
      <w:r w:rsidRPr="004312D1">
        <w:rPr>
          <w:rFonts w:ascii="Times New Roman" w:hAnsi="Times New Roman" w:cs="Times New Roman"/>
          <w:sz w:val="28"/>
          <w:szCs w:val="28"/>
          <w:lang w:val="en-US"/>
        </w:rPr>
        <w:t>. March. P.139-165.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2D1">
        <w:rPr>
          <w:rFonts w:ascii="Times New Roman" w:hAnsi="Times New Roman" w:cs="Times New Roman"/>
          <w:sz w:val="28"/>
          <w:szCs w:val="28"/>
        </w:rPr>
        <w:t xml:space="preserve">Браун М. </w:t>
      </w:r>
      <w:proofErr w:type="spellStart"/>
      <w:r w:rsidRPr="004312D1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и измерение технического прогресса. – М.: Статистика, 1971.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Крастинь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О.П. Применение регрессионного анализа в исследованиях экономики сельского хозяйства. – Рига, </w:t>
      </w: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Зинатне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>, 1976.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Михалевский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Б.Н., Соловьев Ю.П. Производственные функции народного хозяйства СССР за 1957-1963 г.г. / Экономика и математические методы. – 1966. – т.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12D1">
        <w:rPr>
          <w:rFonts w:ascii="Times New Roman" w:hAnsi="Times New Roman" w:cs="Times New Roman"/>
          <w:sz w:val="28"/>
          <w:szCs w:val="28"/>
          <w:lang w:val="ru-RU"/>
        </w:rPr>
        <w:t>. вып.6.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Градышевский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А.И. Производственные функции, их построение и применение // Экономика и математические методы. – 1966. – т. 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>. 4.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r w:rsidRPr="004312D1">
        <w:rPr>
          <w:rFonts w:ascii="Times New Roman" w:hAnsi="Times New Roman" w:cs="Times New Roman"/>
          <w:sz w:val="28"/>
          <w:szCs w:val="28"/>
          <w:lang w:val="ru-RU"/>
        </w:rPr>
        <w:t>Терехов Л.Л. Производственные функции. – М.: Статистика, 1974.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Трегубов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К.Г. Математические методы анализа производственных взаимосвязей в сельском хозяйстве. – М.: Колос, 1972.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Тинтнер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Г. Введение в </w:t>
      </w:r>
      <w:proofErr w:type="spellStart"/>
      <w:r w:rsidRPr="004312D1">
        <w:rPr>
          <w:rFonts w:ascii="Times New Roman" w:hAnsi="Times New Roman" w:cs="Times New Roman"/>
          <w:sz w:val="28"/>
          <w:szCs w:val="28"/>
          <w:lang w:val="ru-RU"/>
        </w:rPr>
        <w:t>економетрию</w:t>
      </w:r>
      <w:proofErr w:type="spellEnd"/>
      <w:r w:rsidRPr="004312D1">
        <w:rPr>
          <w:rFonts w:ascii="Times New Roman" w:hAnsi="Times New Roman" w:cs="Times New Roman"/>
          <w:sz w:val="28"/>
          <w:szCs w:val="28"/>
          <w:lang w:val="ru-RU"/>
        </w:rPr>
        <w:t>. – М.: Статистика, 1965.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</w:rPr>
        <w:t>Аметов</w:t>
      </w:r>
      <w:proofErr w:type="spellEnd"/>
      <w:r w:rsidRPr="004312D1">
        <w:rPr>
          <w:rFonts w:ascii="Times New Roman" w:hAnsi="Times New Roman" w:cs="Times New Roman"/>
          <w:sz w:val="28"/>
          <w:szCs w:val="28"/>
        </w:rPr>
        <w:t xml:space="preserve"> Р. Виробнича функція в економічному зростанні // Економіка України. – 2003. - №2.</w:t>
      </w:r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312D1">
        <w:rPr>
          <w:rFonts w:ascii="Times New Roman" w:hAnsi="Times New Roman" w:cs="Times New Roman"/>
          <w:sz w:val="28"/>
          <w:szCs w:val="28"/>
          <w:lang w:val="ru-RU"/>
        </w:rPr>
        <w:t>. 40-45.</w:t>
      </w:r>
      <w:r w:rsidRPr="004312D1">
        <w:rPr>
          <w:rFonts w:ascii="Times New Roman" w:hAnsi="Times New Roman" w:cs="Times New Roman"/>
          <w:sz w:val="28"/>
          <w:szCs w:val="28"/>
        </w:rPr>
        <w:t xml:space="preserve"> – 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4312D1">
        <w:rPr>
          <w:rFonts w:ascii="Times New Roman" w:hAnsi="Times New Roman" w:cs="Times New Roman"/>
          <w:sz w:val="28"/>
          <w:szCs w:val="28"/>
          <w:lang w:val="ru-RU"/>
        </w:rPr>
        <w:t xml:space="preserve"> 0131-775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312D1">
        <w:rPr>
          <w:rFonts w:ascii="Times New Roman" w:hAnsi="Times New Roman" w:cs="Times New Roman"/>
          <w:sz w:val="28"/>
          <w:szCs w:val="28"/>
        </w:rPr>
        <w:t>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</w:rPr>
        <w:lastRenderedPageBreak/>
        <w:t>Шумская</w:t>
      </w:r>
      <w:proofErr w:type="spellEnd"/>
      <w:r w:rsidRPr="004312D1">
        <w:rPr>
          <w:rFonts w:ascii="Times New Roman" w:hAnsi="Times New Roman" w:cs="Times New Roman"/>
          <w:sz w:val="28"/>
          <w:szCs w:val="28"/>
        </w:rPr>
        <w:t xml:space="preserve"> С.С. Виробнича функція в економічному аналізі: теорія і практика використання // Економіка і прогнозування. – 2007. - №2. – 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4312D1">
        <w:rPr>
          <w:rFonts w:ascii="Times New Roman" w:hAnsi="Times New Roman" w:cs="Times New Roman"/>
          <w:sz w:val="28"/>
          <w:szCs w:val="28"/>
        </w:rPr>
        <w:t xml:space="preserve"> 1605-7988.</w:t>
      </w:r>
    </w:p>
    <w:p w:rsidR="004312D1" w:rsidRPr="004312D1" w:rsidRDefault="004312D1" w:rsidP="004312D1">
      <w:pPr>
        <w:pStyle w:val="a6"/>
        <w:numPr>
          <w:ilvl w:val="0"/>
          <w:numId w:val="15"/>
        </w:numPr>
        <w:spacing w:after="0" w:line="240" w:lineRule="auto"/>
        <w:ind w:left="794" w:hanging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12D1">
        <w:rPr>
          <w:rFonts w:ascii="Times New Roman" w:hAnsi="Times New Roman" w:cs="Times New Roman"/>
          <w:sz w:val="28"/>
          <w:szCs w:val="28"/>
        </w:rPr>
        <w:t>Грабовецький</w:t>
      </w:r>
      <w:proofErr w:type="spellEnd"/>
      <w:r w:rsidRPr="004312D1">
        <w:rPr>
          <w:rFonts w:ascii="Times New Roman" w:hAnsi="Times New Roman" w:cs="Times New Roman"/>
          <w:sz w:val="28"/>
          <w:szCs w:val="28"/>
        </w:rPr>
        <w:t xml:space="preserve"> Ю.Є. Виробничі функції: теорія, побудова, використання в управлінні виробництвом. Монографія. – Вінниця: </w:t>
      </w:r>
      <w:proofErr w:type="spellStart"/>
      <w:r w:rsidRPr="004312D1">
        <w:rPr>
          <w:rFonts w:ascii="Times New Roman" w:hAnsi="Times New Roman" w:cs="Times New Roman"/>
          <w:sz w:val="28"/>
          <w:szCs w:val="28"/>
        </w:rPr>
        <w:t>УНІВЕРСУМ-Вінниця</w:t>
      </w:r>
      <w:proofErr w:type="spellEnd"/>
      <w:r w:rsidRPr="004312D1">
        <w:rPr>
          <w:rFonts w:ascii="Times New Roman" w:hAnsi="Times New Roman" w:cs="Times New Roman"/>
          <w:sz w:val="28"/>
          <w:szCs w:val="28"/>
        </w:rPr>
        <w:t xml:space="preserve">, 2006. – </w:t>
      </w:r>
      <w:r w:rsidRPr="004312D1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4312D1">
        <w:rPr>
          <w:rFonts w:ascii="Times New Roman" w:hAnsi="Times New Roman" w:cs="Times New Roman"/>
          <w:sz w:val="28"/>
          <w:szCs w:val="28"/>
        </w:rPr>
        <w:t xml:space="preserve"> 966-641-177-6.</w:t>
      </w:r>
    </w:p>
    <w:p w:rsidR="004312D1" w:rsidRPr="004312D1" w:rsidRDefault="004312D1" w:rsidP="00431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2D1" w:rsidRPr="004312D1" w:rsidRDefault="004312D1" w:rsidP="00431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2D1" w:rsidRPr="004312D1" w:rsidRDefault="004312D1" w:rsidP="00431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2D1" w:rsidRPr="00D203B2" w:rsidRDefault="004312D1" w:rsidP="00D20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D1" w:rsidRDefault="00D203B2" w:rsidP="00D203B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</w:pPr>
      <w:r w:rsidRPr="00D203B2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ОЦЕНКА ЭФФЕКТИВНОСТИ ТРУДА НА ОСНОВЕ ИСПОЛЬЗОВАНИЯ ПРОИЗВОДСТВЕННЫХ ФУНКЦИЙ</w:t>
      </w:r>
    </w:p>
    <w:p w:rsidR="00D203B2" w:rsidRPr="00D203B2" w:rsidRDefault="00D203B2" w:rsidP="00D20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3B2" w:rsidRPr="00D203B2" w:rsidRDefault="00D203B2" w:rsidP="00D203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3B2">
        <w:rPr>
          <w:rFonts w:ascii="Times New Roman" w:hAnsi="Times New Roman" w:cs="Times New Roman"/>
          <w:sz w:val="28"/>
          <w:szCs w:val="28"/>
        </w:rPr>
        <w:t xml:space="preserve">О.В. Мороз, </w:t>
      </w:r>
      <w:proofErr w:type="spellStart"/>
      <w:r w:rsidRPr="00D203B2">
        <w:rPr>
          <w:rFonts w:ascii="Times New Roman" w:hAnsi="Times New Roman" w:cs="Times New Roman"/>
          <w:sz w:val="28"/>
          <w:szCs w:val="28"/>
        </w:rPr>
        <w:t>д.е.н</w:t>
      </w:r>
      <w:proofErr w:type="spellEnd"/>
      <w:r w:rsidRPr="00D203B2">
        <w:rPr>
          <w:rFonts w:ascii="Times New Roman" w:hAnsi="Times New Roman" w:cs="Times New Roman"/>
          <w:sz w:val="28"/>
          <w:szCs w:val="28"/>
        </w:rPr>
        <w:t xml:space="preserve">., проф., Б.Є. </w:t>
      </w:r>
      <w:proofErr w:type="spellStart"/>
      <w:r w:rsidRPr="00D203B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рабовец</w:t>
      </w:r>
      <w:r w:rsidRPr="00D203B2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D203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03B2">
        <w:rPr>
          <w:rFonts w:ascii="Times New Roman" w:hAnsi="Times New Roman" w:cs="Times New Roman"/>
          <w:sz w:val="28"/>
          <w:szCs w:val="28"/>
        </w:rPr>
        <w:t>к.е.н</w:t>
      </w:r>
      <w:proofErr w:type="spellEnd"/>
      <w:r w:rsidRPr="00D203B2">
        <w:rPr>
          <w:rFonts w:ascii="Times New Roman" w:hAnsi="Times New Roman" w:cs="Times New Roman"/>
          <w:sz w:val="28"/>
          <w:szCs w:val="28"/>
        </w:rPr>
        <w:t>., доц., Ю.В. 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03B2">
        <w:rPr>
          <w:rFonts w:ascii="Times New Roman" w:hAnsi="Times New Roman" w:cs="Times New Roman"/>
          <w:sz w:val="28"/>
          <w:szCs w:val="28"/>
        </w:rPr>
        <w:t>ронова</w:t>
      </w:r>
    </w:p>
    <w:p w:rsidR="004312D1" w:rsidRPr="004312D1" w:rsidRDefault="004312D1" w:rsidP="00431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3B2" w:rsidRPr="00422177" w:rsidRDefault="00D203B2" w:rsidP="00D203B2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Исследовано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эффективность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труда на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основе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использования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економико-математичних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методов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и моделей.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Построена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производственная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функция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которая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позволит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обнаружить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связи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между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производительностью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труда и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основными</w:t>
      </w:r>
      <w:proofErr w:type="spellEnd"/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фондами и </w:t>
      </w:r>
      <w:proofErr w:type="spellStart"/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оборотными</w:t>
      </w:r>
      <w:proofErr w:type="spellEnd"/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фондами, а </w:t>
      </w:r>
      <w:proofErr w:type="spellStart"/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также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построить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соответствующие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прогнозы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на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основе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которых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  <w:t>возможно</w:t>
      </w:r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проведение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стратегического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анализа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EF2C6F" w:rsidRPr="00EF2C6F" w:rsidRDefault="00EF2C6F" w:rsidP="00D203B2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Ключевые слова: </w:t>
      </w:r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  <w:t>эффективность</w:t>
      </w:r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  <w:t>, продуктивность, производственная функция, персонал, модель.</w:t>
      </w:r>
    </w:p>
    <w:p w:rsidR="00D203B2" w:rsidRPr="00EF2C6F" w:rsidRDefault="00D203B2" w:rsidP="00D203B2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</w:p>
    <w:p w:rsidR="00D203B2" w:rsidRDefault="00D203B2" w:rsidP="00D203B2">
      <w:pPr>
        <w:spacing w:after="0" w:line="240" w:lineRule="auto"/>
        <w:ind w:firstLine="567"/>
        <w:jc w:val="center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D203B2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</w:rPr>
        <w:t>ESTIMATION OF EFFICIENCY OF LABOUR ON BASIS OF THE USE OF PRODUCTION FUNCTIONS</w:t>
      </w:r>
    </w:p>
    <w:p w:rsidR="00D203B2" w:rsidRDefault="00D203B2" w:rsidP="00D203B2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</w:pPr>
    </w:p>
    <w:p w:rsidR="00D203B2" w:rsidRDefault="00D203B2" w:rsidP="00D203B2">
      <w:pPr>
        <w:spacing w:after="0" w:line="240" w:lineRule="auto"/>
        <w:jc w:val="both"/>
        <w:rPr>
          <w:rStyle w:val="apple-style-span"/>
          <w:rFonts w:ascii="Times New Roman" w:hAnsi="Times New Roman"/>
          <w:color w:val="000000"/>
          <w:sz w:val="28"/>
          <w:szCs w:val="20"/>
          <w:lang w:val="en-US"/>
        </w:rPr>
      </w:pPr>
      <w:r>
        <w:rPr>
          <w:rStyle w:val="apple-style-span"/>
          <w:rFonts w:ascii="Times New Roman" w:hAnsi="Times New Roman"/>
          <w:color w:val="000000"/>
          <w:sz w:val="28"/>
          <w:szCs w:val="20"/>
          <w:lang w:val="en-US"/>
        </w:rPr>
        <w:t xml:space="preserve">O.V. </w:t>
      </w:r>
      <w:proofErr w:type="spellStart"/>
      <w:r>
        <w:rPr>
          <w:rStyle w:val="apple-style-span"/>
          <w:rFonts w:ascii="Times New Roman" w:hAnsi="Times New Roman"/>
          <w:color w:val="000000"/>
          <w:sz w:val="28"/>
          <w:szCs w:val="20"/>
          <w:lang w:val="en-US"/>
        </w:rPr>
        <w:t>Moroz</w:t>
      </w:r>
      <w:proofErr w:type="spellEnd"/>
      <w:r>
        <w:rPr>
          <w:rStyle w:val="apple-style-span"/>
          <w:rFonts w:ascii="Times New Roman" w:hAnsi="Times New Roman"/>
          <w:color w:val="000000"/>
          <w:sz w:val="28"/>
          <w:szCs w:val="20"/>
          <w:lang w:val="en-US"/>
        </w:rPr>
        <w:t xml:space="preserve">, </w:t>
      </w:r>
      <w:r w:rsidRPr="00065DF0">
        <w:rPr>
          <w:rStyle w:val="apple-style-span"/>
          <w:rFonts w:ascii="Times New Roman" w:hAnsi="Times New Roman"/>
          <w:color w:val="000000"/>
          <w:sz w:val="28"/>
          <w:szCs w:val="20"/>
        </w:rPr>
        <w:t xml:space="preserve">B.E. </w:t>
      </w:r>
      <w:proofErr w:type="spellStart"/>
      <w:r w:rsidRPr="00065DF0">
        <w:rPr>
          <w:rStyle w:val="apple-style-span"/>
          <w:rFonts w:ascii="Times New Roman" w:hAnsi="Times New Roman"/>
          <w:color w:val="000000"/>
          <w:sz w:val="28"/>
          <w:szCs w:val="20"/>
        </w:rPr>
        <w:t>Graboveckiy</w:t>
      </w:r>
      <w:proofErr w:type="spellEnd"/>
      <w:r w:rsidRPr="00065DF0">
        <w:rPr>
          <w:rStyle w:val="apple-style-span"/>
          <w:rFonts w:ascii="Times New Roman" w:hAnsi="Times New Roman"/>
          <w:color w:val="000000"/>
          <w:sz w:val="28"/>
          <w:szCs w:val="20"/>
        </w:rPr>
        <w:t xml:space="preserve">, </w:t>
      </w:r>
      <w:proofErr w:type="spellStart"/>
      <w:r w:rsidRPr="00065DF0">
        <w:rPr>
          <w:rStyle w:val="apple-style-span"/>
          <w:rFonts w:ascii="Times New Roman" w:hAnsi="Times New Roman"/>
          <w:color w:val="000000"/>
          <w:sz w:val="28"/>
          <w:szCs w:val="20"/>
        </w:rPr>
        <w:t>Yu.V.Mironova</w:t>
      </w:r>
      <w:proofErr w:type="spellEnd"/>
    </w:p>
    <w:p w:rsidR="00D203B2" w:rsidRPr="00D203B2" w:rsidRDefault="00D203B2" w:rsidP="00D203B2">
      <w:pPr>
        <w:spacing w:after="0" w:line="240" w:lineRule="auto"/>
        <w:ind w:firstLine="567"/>
        <w:jc w:val="both"/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D203B2" w:rsidRPr="0005224C" w:rsidRDefault="00D203B2" w:rsidP="00D203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Investigational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efficiency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labour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on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basis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use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ekonomiko-</w:t>
      </w:r>
      <w:r w:rsidRPr="0005224C">
        <w:rPr>
          <w:rFonts w:ascii="-webkit-monospace" w:hAnsi="-webkit-monospace"/>
          <w:color w:val="000000"/>
          <w:sz w:val="20"/>
          <w:szCs w:val="20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mathematical</w:t>
      </w:r>
      <w:proofErr w:type="spellEnd"/>
      <w:r w:rsidRPr="0005224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methods</w:t>
      </w:r>
      <w:proofErr w:type="spellEnd"/>
      <w: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and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models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. A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production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function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which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will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allow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find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out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copulas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between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labour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productivity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and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capital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assets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and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floating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assets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is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built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and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build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proper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prognoses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which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a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possible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leadthrough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strategic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analysis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is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on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basis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 w:rsidRPr="0005224C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312D1" w:rsidRPr="00EF2C6F" w:rsidRDefault="00EF2C6F" w:rsidP="00EF2C6F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Key</w:t>
      </w:r>
      <w:proofErr w:type="spellEnd"/>
      <w:r w:rsidR="00AB4140" w:rsidRPr="00AB4140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words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efficiency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productivity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production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function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personnel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model</w:t>
      </w:r>
      <w:proofErr w:type="spellEnd"/>
      <w:r w:rsidRPr="00EF2C6F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1332DD" w:rsidRPr="00AB4140" w:rsidRDefault="001332DD" w:rsidP="00EF2C6F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332DD" w:rsidRPr="00AB4140" w:rsidSect="00C26F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-webkit-monospa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1D7"/>
    <w:multiLevelType w:val="hybridMultilevel"/>
    <w:tmpl w:val="D0A8775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5A42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C45F6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CE332A"/>
    <w:multiLevelType w:val="hybridMultilevel"/>
    <w:tmpl w:val="7610ADE6"/>
    <w:lvl w:ilvl="0" w:tplc="404636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A172184"/>
    <w:multiLevelType w:val="hybridMultilevel"/>
    <w:tmpl w:val="49B89E76"/>
    <w:lvl w:ilvl="0" w:tplc="06A65B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FF4852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772E69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7857EF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7B2EC3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6F1998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295E0F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D70FC5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252952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123C03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C5349A"/>
    <w:multiLevelType w:val="hybridMultilevel"/>
    <w:tmpl w:val="678E09C8"/>
    <w:lvl w:ilvl="0" w:tplc="5F4A3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8"/>
  </w:num>
  <w:num w:numId="11">
    <w:abstractNumId w:val="2"/>
  </w:num>
  <w:num w:numId="12">
    <w:abstractNumId w:val="13"/>
  </w:num>
  <w:num w:numId="13">
    <w:abstractNumId w:val="14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26FC2"/>
    <w:rsid w:val="0005224C"/>
    <w:rsid w:val="00061084"/>
    <w:rsid w:val="00075FF1"/>
    <w:rsid w:val="001332DD"/>
    <w:rsid w:val="0021282A"/>
    <w:rsid w:val="00240E3E"/>
    <w:rsid w:val="002856DB"/>
    <w:rsid w:val="00392FFC"/>
    <w:rsid w:val="00422177"/>
    <w:rsid w:val="004312D1"/>
    <w:rsid w:val="00432CBE"/>
    <w:rsid w:val="005477F2"/>
    <w:rsid w:val="005E11B0"/>
    <w:rsid w:val="006800A5"/>
    <w:rsid w:val="007C07C8"/>
    <w:rsid w:val="00854BE9"/>
    <w:rsid w:val="00863F3C"/>
    <w:rsid w:val="008D2C83"/>
    <w:rsid w:val="00964718"/>
    <w:rsid w:val="00970DAE"/>
    <w:rsid w:val="00971A0D"/>
    <w:rsid w:val="00AA1A15"/>
    <w:rsid w:val="00AB4140"/>
    <w:rsid w:val="00AC297E"/>
    <w:rsid w:val="00AD5E84"/>
    <w:rsid w:val="00C2214C"/>
    <w:rsid w:val="00C26FC2"/>
    <w:rsid w:val="00D203B2"/>
    <w:rsid w:val="00E758F8"/>
    <w:rsid w:val="00E92430"/>
    <w:rsid w:val="00ED17B9"/>
    <w:rsid w:val="00EF2C6F"/>
    <w:rsid w:val="00FC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21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5E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1A0D"/>
    <w:pPr>
      <w:ind w:left="720"/>
      <w:contextualSpacing/>
    </w:pPr>
  </w:style>
  <w:style w:type="character" w:customStyle="1" w:styleId="apple-style-span">
    <w:name w:val="apple-style-span"/>
    <w:basedOn w:val="a0"/>
    <w:rsid w:val="00052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D3B14-CAB2-495D-8B56-247D7B06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9083</Words>
  <Characters>5178</Characters>
  <Application>Microsoft Office Word</Application>
  <DocSecurity>0</DocSecurity>
  <Lines>43</Lines>
  <Paragraphs>28</Paragraphs>
  <ScaleCrop>false</ScaleCrop>
  <Company>Xata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Julja</dc:creator>
  <cp:keywords/>
  <dc:description/>
  <cp:lastModifiedBy>Julja</cp:lastModifiedBy>
  <cp:revision>32</cp:revision>
  <dcterms:created xsi:type="dcterms:W3CDTF">2009-06-03T20:55:00Z</dcterms:created>
  <dcterms:modified xsi:type="dcterms:W3CDTF">2009-06-04T16:14:00Z</dcterms:modified>
</cp:coreProperties>
</file>