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077" w:rsidRPr="009F4077" w:rsidRDefault="009F4077" w:rsidP="009F4077">
      <w:pPr>
        <w:spacing w:after="0" w:line="360" w:lineRule="auto"/>
        <w:rPr>
          <w:rFonts w:ascii="Times New Roman" w:hAnsi="Times New Roman"/>
          <w:b/>
          <w:sz w:val="20"/>
          <w:szCs w:val="20"/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УДК</w:t>
      </w:r>
      <w:r>
        <w:rPr>
          <w:rFonts w:ascii="Times New Roman" w:hAnsi="Times New Roman"/>
          <w:b/>
          <w:sz w:val="20"/>
          <w:szCs w:val="20"/>
          <w:lang w:val="ru-RU"/>
        </w:rPr>
        <w:t xml:space="preserve"> 666.972</w:t>
      </w:r>
    </w:p>
    <w:p w:rsidR="009F4077" w:rsidRDefault="009F4077" w:rsidP="009F4077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СУЧАСНІ ПІДХОДИ ПО ЗАСТОСУВАННЮ МЕТОДІВ АКТИВАЦІЇ ЗОЛИ ВИНОСУ ТЕС </w:t>
      </w:r>
    </w:p>
    <w:p w:rsidR="009F4077" w:rsidRPr="009F4077" w:rsidRDefault="009F4077" w:rsidP="009F4077">
      <w:pPr>
        <w:spacing w:after="0" w:line="240" w:lineRule="auto"/>
        <w:ind w:firstLine="284"/>
        <w:jc w:val="center"/>
        <w:rPr>
          <w:rFonts w:ascii="Times New Roman" w:hAnsi="Times New Roman"/>
          <w:b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</w:rPr>
        <w:t>ДЛЯ ВИКОРИСТАННЯ В ПРОМИСЛОВОСТІ БУДІВЕЛЬНИХ МАТЕРІАЛІВ</w:t>
      </w:r>
    </w:p>
    <w:p w:rsidR="009F4077" w:rsidRPr="009F4077" w:rsidRDefault="009F4077" w:rsidP="009F4077">
      <w:pPr>
        <w:spacing w:after="0" w:line="240" w:lineRule="auto"/>
        <w:ind w:firstLine="28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9F4077" w:rsidRDefault="009F4077" w:rsidP="009F4077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Сердюк В.Р</w:t>
      </w:r>
      <w:r>
        <w:rPr>
          <w:rFonts w:ascii="Times New Roman" w:hAnsi="Times New Roman"/>
        </w:rPr>
        <w:t xml:space="preserve">., </w:t>
      </w:r>
      <w:proofErr w:type="spellStart"/>
      <w:r>
        <w:rPr>
          <w:rFonts w:ascii="Times New Roman" w:hAnsi="Times New Roman"/>
          <w:i/>
        </w:rPr>
        <w:t>д.т.н</w:t>
      </w:r>
      <w:proofErr w:type="spellEnd"/>
      <w:r>
        <w:rPr>
          <w:rFonts w:ascii="Times New Roman" w:hAnsi="Times New Roman"/>
          <w:i/>
        </w:rPr>
        <w:t>. професор,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</w:rPr>
        <w:t>Сідлак</w:t>
      </w:r>
      <w:proofErr w:type="spellEnd"/>
      <w:r>
        <w:rPr>
          <w:rFonts w:ascii="Times New Roman" w:hAnsi="Times New Roman"/>
          <w:b/>
        </w:rPr>
        <w:t xml:space="preserve"> О.С</w:t>
      </w:r>
      <w:r>
        <w:rPr>
          <w:rFonts w:ascii="Times New Roman" w:hAnsi="Times New Roman"/>
          <w:i/>
        </w:rPr>
        <w:t>., здобувач</w:t>
      </w:r>
    </w:p>
    <w:p w:rsidR="009F4077" w:rsidRDefault="009F4077" w:rsidP="009F4077">
      <w:pPr>
        <w:spacing w:after="0" w:line="240" w:lineRule="auto"/>
        <w:rPr>
          <w:rFonts w:ascii="Times New Roman" w:hAnsi="Times New Roman"/>
          <w:i/>
        </w:rPr>
      </w:pPr>
    </w:p>
    <w:p w:rsidR="009F4077" w:rsidRPr="009F4077" w:rsidRDefault="009F4077" w:rsidP="009F4077">
      <w:pPr>
        <w:spacing w:after="0" w:line="240" w:lineRule="auto"/>
        <w:jc w:val="center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</w:rPr>
        <w:t>Вінницький національний технічний університет</w:t>
      </w:r>
    </w:p>
    <w:p w:rsidR="009F4077" w:rsidRPr="009F4077" w:rsidRDefault="009F4077" w:rsidP="009F4077">
      <w:pPr>
        <w:spacing w:after="0" w:line="240" w:lineRule="auto"/>
        <w:jc w:val="center"/>
        <w:rPr>
          <w:rFonts w:ascii="Times New Roman" w:hAnsi="Times New Roman"/>
          <w:i/>
          <w:lang w:val="ru-RU"/>
        </w:rPr>
      </w:pPr>
    </w:p>
    <w:p w:rsidR="009F4077" w:rsidRDefault="009F4077" w:rsidP="009F4077">
      <w:pPr>
        <w:spacing w:after="0" w:line="240" w:lineRule="auto"/>
        <w:ind w:firstLine="284"/>
        <w:jc w:val="center"/>
        <w:rPr>
          <w:rFonts w:ascii="Times New Roman" w:hAnsi="Times New Roman"/>
          <w:b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</w:rPr>
        <w:t>Анотація</w:t>
      </w:r>
    </w:p>
    <w:p w:rsidR="009F4077" w:rsidRDefault="009F4077" w:rsidP="009F4077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 xml:space="preserve">Проаналізовано методи активації золи винесення ТЕС їх види та основні властивості. Розглянуто існуючі технічні засоби для механічної, </w:t>
      </w:r>
      <w:proofErr w:type="spellStart"/>
      <w:r>
        <w:rPr>
          <w:rFonts w:ascii="Times New Roman" w:hAnsi="Times New Roman"/>
          <w:sz w:val="20"/>
          <w:szCs w:val="20"/>
        </w:rPr>
        <w:t>механохімічної</w:t>
      </w:r>
      <w:proofErr w:type="spellEnd"/>
      <w:r>
        <w:rPr>
          <w:rFonts w:ascii="Times New Roman" w:hAnsi="Times New Roman"/>
          <w:sz w:val="20"/>
          <w:szCs w:val="20"/>
        </w:rPr>
        <w:t xml:space="preserve"> та інших методів активації. Наведено приклад використання в сучасних будівельних матеріалах золи та шлаку ТЕС, залежно від виду активації, мінералогічного та хімічного складу.</w:t>
      </w:r>
    </w:p>
    <w:p w:rsidR="009F4077" w:rsidRPr="009F4077" w:rsidRDefault="009F4077" w:rsidP="009F4077">
      <w:pPr>
        <w:spacing w:after="0" w:line="360" w:lineRule="auto"/>
        <w:ind w:firstLine="284"/>
        <w:jc w:val="both"/>
        <w:rPr>
          <w:rFonts w:ascii="Times New Roman" w:hAnsi="Times New Roman"/>
          <w:bCs/>
          <w:iCs/>
          <w:color w:val="333333"/>
          <w:sz w:val="20"/>
          <w:szCs w:val="20"/>
          <w:lang w:val="ru-RU"/>
        </w:rPr>
      </w:pPr>
      <w:r>
        <w:rPr>
          <w:rFonts w:ascii="Times New Roman" w:hAnsi="Times New Roman"/>
          <w:b/>
          <w:bCs/>
          <w:iCs/>
          <w:color w:val="333333"/>
          <w:sz w:val="20"/>
          <w:szCs w:val="20"/>
        </w:rPr>
        <w:t xml:space="preserve">Ключові слова: </w:t>
      </w:r>
      <w:r>
        <w:rPr>
          <w:rFonts w:ascii="Times New Roman" w:hAnsi="Times New Roman"/>
          <w:bCs/>
          <w:iCs/>
          <w:color w:val="333333"/>
          <w:sz w:val="20"/>
          <w:szCs w:val="20"/>
        </w:rPr>
        <w:t>зола, ТЕС, методи активація, будівельні матеріали.</w:t>
      </w:r>
    </w:p>
    <w:p w:rsidR="009F4077" w:rsidRDefault="009F4077" w:rsidP="009F4077">
      <w:pPr>
        <w:spacing w:line="240" w:lineRule="auto"/>
        <w:ind w:firstLine="284"/>
        <w:jc w:val="center"/>
        <w:rPr>
          <w:rFonts w:ascii="Times New Roman" w:hAnsi="Times New Roman"/>
          <w:b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  <w:lang w:val="ru-RU"/>
        </w:rPr>
        <w:t>Аннотация</w:t>
      </w:r>
    </w:p>
    <w:p w:rsidR="009F4077" w:rsidRDefault="009F4077" w:rsidP="009F4077">
      <w:pPr>
        <w:spacing w:line="240" w:lineRule="auto"/>
        <w:ind w:firstLine="284"/>
        <w:jc w:val="both"/>
        <w:rPr>
          <w:rFonts w:ascii="Times New Roman" w:hAnsi="Times New Roman"/>
          <w:i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Проанализированы методы активации золы унос ТЭС их виды и основные свойства. Рассмотрены существующие технические средства для механической, механохимической и других методов активации. Приведен пример использования в современных строительных материалах золы и шлака ТЭС, в зависимости от вида активации, минералогического и химического состава</w:t>
      </w:r>
      <w:r>
        <w:rPr>
          <w:rFonts w:ascii="Times New Roman" w:hAnsi="Times New Roman"/>
          <w:i/>
          <w:sz w:val="20"/>
          <w:szCs w:val="20"/>
          <w:lang w:val="ru-RU"/>
        </w:rPr>
        <w:t xml:space="preserve">. </w:t>
      </w:r>
    </w:p>
    <w:p w:rsidR="009F4077" w:rsidRPr="009F4077" w:rsidRDefault="009F4077" w:rsidP="009F4077">
      <w:pPr>
        <w:spacing w:after="0" w:line="360" w:lineRule="auto"/>
        <w:ind w:firstLine="284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  <w:lang w:val="ru-RU"/>
        </w:rPr>
        <w:t>Ключевые слова:</w:t>
      </w:r>
      <w:r>
        <w:rPr>
          <w:rFonts w:ascii="Times New Roman" w:hAnsi="Times New Roman"/>
          <w:sz w:val="20"/>
          <w:szCs w:val="20"/>
          <w:lang w:val="ru-RU"/>
        </w:rPr>
        <w:t xml:space="preserve"> зола, ТЭС, методы активация, строительные материалы</w:t>
      </w:r>
    </w:p>
    <w:p w:rsidR="009F4077" w:rsidRDefault="009F4077" w:rsidP="009F4077">
      <w:pPr>
        <w:spacing w:after="30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Summary</w:t>
      </w:r>
      <w:proofErr w:type="spellEnd"/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Analyzed activation methods of TPS`s fly ash, types and their basic properties.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 xml:space="preserve">Were considered existent technical tools for mechanical,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mechanochemical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and other activation methods.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 Give an example of   using TPS`s ash and slag in modern materials, depending on the type of activation of the mineralogical and chemical composition.</w:t>
      </w:r>
    </w:p>
    <w:p w:rsidR="009F4077" w:rsidRDefault="009F4077" w:rsidP="009F4077">
      <w:pPr>
        <w:spacing w:after="0" w:line="360" w:lineRule="auto"/>
        <w:ind w:firstLine="284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Keywords:</w:t>
      </w:r>
      <w:r>
        <w:rPr>
          <w:rFonts w:ascii="Times New Roman" w:hAnsi="Times New Roman"/>
          <w:sz w:val="20"/>
          <w:szCs w:val="20"/>
          <w:lang w:val="en-US"/>
        </w:rPr>
        <w:t xml:space="preserve"> ash, TPS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  <w:lang w:val="en-US"/>
        </w:rPr>
        <w:t xml:space="preserve"> activation methods, building materials.</w:t>
      </w:r>
    </w:p>
    <w:p w:rsidR="009F4077" w:rsidRDefault="009F4077" w:rsidP="009F4077">
      <w:pPr>
        <w:spacing w:after="0" w:line="360" w:lineRule="auto"/>
        <w:ind w:firstLine="284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Найперспективнішими для утилізації у виробництві будівельних матеріалів, з точки зору мінералогічного та хімічного складів, є відходи теплоенергетичної галузі, які представлені золами та шлаками ТЕС. 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Ефективні способи введення значної кількості </w:t>
      </w:r>
      <w:proofErr w:type="spellStart"/>
      <w:r>
        <w:rPr>
          <w:rFonts w:ascii="Times New Roman" w:hAnsi="Times New Roman"/>
          <w:sz w:val="20"/>
          <w:szCs w:val="20"/>
        </w:rPr>
        <w:t>золошлакових</w:t>
      </w:r>
      <w:proofErr w:type="spellEnd"/>
      <w:r>
        <w:rPr>
          <w:rFonts w:ascii="Times New Roman" w:hAnsi="Times New Roman"/>
          <w:sz w:val="20"/>
          <w:szCs w:val="20"/>
        </w:rPr>
        <w:t xml:space="preserve"> відходів до складу різних видів будівельних матеріалів, у тому числі бетонних сумішей, можуть бути реалізовані шляхом використання сучасних технологій отримання в’яжучих низької </w:t>
      </w:r>
      <w:proofErr w:type="spellStart"/>
      <w:r>
        <w:rPr>
          <w:rFonts w:ascii="Times New Roman" w:hAnsi="Times New Roman"/>
          <w:sz w:val="20"/>
          <w:szCs w:val="20"/>
        </w:rPr>
        <w:t>водопотреби</w:t>
      </w:r>
      <w:proofErr w:type="spellEnd"/>
      <w:r>
        <w:rPr>
          <w:rFonts w:ascii="Times New Roman" w:hAnsi="Times New Roman"/>
          <w:sz w:val="20"/>
          <w:szCs w:val="20"/>
        </w:rPr>
        <w:t xml:space="preserve">, тонкомелених </w:t>
      </w:r>
      <w:proofErr w:type="spellStart"/>
      <w:r>
        <w:rPr>
          <w:rFonts w:ascii="Times New Roman" w:hAnsi="Times New Roman"/>
          <w:sz w:val="20"/>
          <w:szCs w:val="20"/>
        </w:rPr>
        <w:t>цементів</w:t>
      </w:r>
      <w:proofErr w:type="spellEnd"/>
      <w:r>
        <w:rPr>
          <w:rFonts w:ascii="Times New Roman" w:hAnsi="Times New Roman"/>
          <w:sz w:val="20"/>
          <w:szCs w:val="20"/>
        </w:rPr>
        <w:t xml:space="preserve"> та інтенсивної технології окремого приготування складових бетонної суміші, </w:t>
      </w:r>
      <w:r>
        <w:rPr>
          <w:rFonts w:ascii="Times New Roman" w:eastAsia="TimesNewRoman" w:hAnsi="Times New Roman"/>
          <w:sz w:val="20"/>
          <w:szCs w:val="20"/>
        </w:rPr>
        <w:t xml:space="preserve">випуск композиційних </w:t>
      </w:r>
      <w:proofErr w:type="spellStart"/>
      <w:r>
        <w:rPr>
          <w:rFonts w:ascii="Times New Roman" w:eastAsia="TimesNewRoman" w:hAnsi="Times New Roman"/>
          <w:sz w:val="20"/>
          <w:szCs w:val="20"/>
        </w:rPr>
        <w:t>цементів</w:t>
      </w:r>
      <w:proofErr w:type="spellEnd"/>
      <w:r>
        <w:rPr>
          <w:rFonts w:ascii="Times New Roman" w:eastAsia="TimesNewRoman" w:hAnsi="Times New Roman"/>
          <w:sz w:val="20"/>
          <w:szCs w:val="20"/>
        </w:rPr>
        <w:t xml:space="preserve"> та інші. Це в свою чергу дозволить економити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TimesNewRoman" w:hAnsi="Times New Roman"/>
          <w:sz w:val="20"/>
          <w:szCs w:val="20"/>
        </w:rPr>
        <w:t>клінкерну складову цементу за рахунок використання активних мінеральних до</w:t>
      </w:r>
      <w:r>
        <w:rPr>
          <w:rFonts w:ascii="Times New Roman" w:eastAsia="TimesNewRoman" w:hAnsi="Times New Roman"/>
          <w:sz w:val="20"/>
          <w:szCs w:val="20"/>
          <w:lang w:val="ru-RU"/>
        </w:rPr>
        <w:t>ба</w:t>
      </w:r>
      <w:proofErr w:type="spellStart"/>
      <w:r>
        <w:rPr>
          <w:rFonts w:ascii="Times New Roman" w:eastAsia="TimesNewRoman" w:hAnsi="Times New Roman"/>
          <w:sz w:val="20"/>
          <w:szCs w:val="20"/>
        </w:rPr>
        <w:t>вок</w:t>
      </w:r>
      <w:proofErr w:type="spellEnd"/>
      <w:r>
        <w:rPr>
          <w:rFonts w:ascii="Times New Roman" w:eastAsia="TimesNewRoman" w:hAnsi="Times New Roman"/>
          <w:sz w:val="20"/>
          <w:szCs w:val="20"/>
        </w:rPr>
        <w:t>.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Результати досліджень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Кількість </w:t>
      </w:r>
      <w:proofErr w:type="spellStart"/>
      <w:r>
        <w:rPr>
          <w:rFonts w:ascii="Times New Roman" w:hAnsi="Times New Roman"/>
          <w:sz w:val="20"/>
          <w:szCs w:val="20"/>
        </w:rPr>
        <w:t>золошлакових</w:t>
      </w:r>
      <w:proofErr w:type="spellEnd"/>
      <w:r>
        <w:rPr>
          <w:rFonts w:ascii="Times New Roman" w:hAnsi="Times New Roman"/>
          <w:sz w:val="20"/>
          <w:szCs w:val="20"/>
        </w:rPr>
        <w:t xml:space="preserve"> відходів, що використовується у складі в’яжучої речовини та бетонної суміші, може бути збільшена за рахунок її активації різними способами, в тому числі механічним, хімічним, термічним та комплексним (гідромеханічним, </w:t>
      </w:r>
      <w:proofErr w:type="spellStart"/>
      <w:r>
        <w:rPr>
          <w:rFonts w:ascii="Times New Roman" w:hAnsi="Times New Roman"/>
          <w:sz w:val="20"/>
          <w:szCs w:val="20"/>
        </w:rPr>
        <w:t>механохімічним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електро-механохімічним</w:t>
      </w:r>
      <w:proofErr w:type="spellEnd"/>
      <w:r>
        <w:rPr>
          <w:rFonts w:ascii="Times New Roman" w:hAnsi="Times New Roman"/>
          <w:sz w:val="20"/>
          <w:szCs w:val="20"/>
        </w:rPr>
        <w:t>). [</w:t>
      </w:r>
      <w:r w:rsidRPr="009F4077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,</w:t>
      </w:r>
      <w:r w:rsidRPr="009F4077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]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noProof/>
          <w:sz w:val="20"/>
          <w:szCs w:val="20"/>
          <w:lang w:eastAsia="uk-UA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Механічна активація </w:t>
      </w:r>
      <w:r>
        <w:rPr>
          <w:rFonts w:ascii="Times New Roman" w:hAnsi="Times New Roman"/>
          <w:sz w:val="20"/>
          <w:szCs w:val="20"/>
        </w:rPr>
        <w:t>полягає у</w:t>
      </w:r>
      <w:r w:rsidRPr="009F407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підвищенні питомої поверхні вихідної золи</w:t>
      </w:r>
      <w:r w:rsidRPr="009F407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шляхом її</w:t>
      </w:r>
      <w:r w:rsidRPr="009F407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помелу. Для помелу використовують: шаровий млин, вібраційний млин, молотковий млин дезінтегратор. Дезінтегратор являється однією з найкращих установок для ультра-мілкого помелу в тому числі й для помелу золи.</w:t>
      </w:r>
      <w:r>
        <w:rPr>
          <w:rFonts w:ascii="Times New Roman" w:hAnsi="Times New Roman"/>
          <w:noProof/>
          <w:sz w:val="20"/>
          <w:szCs w:val="20"/>
          <w:lang w:eastAsia="uk-UA"/>
        </w:rPr>
        <w:t xml:space="preserve"> </w:t>
      </w:r>
      <w:r>
        <w:rPr>
          <w:rFonts w:ascii="Times New Roman" w:hAnsi="Times New Roman"/>
          <w:sz w:val="20"/>
          <w:szCs w:val="20"/>
        </w:rPr>
        <w:t>[</w:t>
      </w:r>
      <w:r w:rsidRPr="009F4077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].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Це сприяє не тільки кількісному підвищенню реакційної здатності реагентів, але й має якісний ефект: формування нових активних поверхонь алюмосилікатної фази, що містять </w:t>
      </w:r>
      <w:proofErr w:type="spellStart"/>
      <w:r>
        <w:rPr>
          <w:rFonts w:ascii="Times New Roman" w:hAnsi="Times New Roman"/>
          <w:sz w:val="20"/>
          <w:szCs w:val="20"/>
        </w:rPr>
        <w:t>мікродефекти</w:t>
      </w:r>
      <w:proofErr w:type="spellEnd"/>
      <w:r>
        <w:rPr>
          <w:rFonts w:ascii="Times New Roman" w:hAnsi="Times New Roman"/>
          <w:sz w:val="20"/>
          <w:szCs w:val="20"/>
        </w:rPr>
        <w:t>, які відрізняються високою поверхневою енергією і, відповідно, реакційною здатністю. У той же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час підвищення питомої поверхні золи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більше 700 м</w:t>
      </w: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>/кг призводить до зниження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міцності внаслідок збільшення </w:t>
      </w:r>
      <w:proofErr w:type="spellStart"/>
      <w:r>
        <w:rPr>
          <w:rFonts w:ascii="Times New Roman" w:hAnsi="Times New Roman"/>
          <w:sz w:val="20"/>
          <w:szCs w:val="20"/>
        </w:rPr>
        <w:t>водопотреби</w:t>
      </w:r>
      <w:proofErr w:type="spellEnd"/>
      <w:r>
        <w:rPr>
          <w:rFonts w:ascii="Times New Roman" w:hAnsi="Times New Roman"/>
          <w:sz w:val="20"/>
          <w:szCs w:val="20"/>
        </w:rPr>
        <w:t xml:space="preserve">. </w:t>
      </w:r>
    </w:p>
    <w:p w:rsidR="009F4077" w:rsidRDefault="009F4077" w:rsidP="009F4077">
      <w:pPr>
        <w:pStyle w:val="a3"/>
        <w:tabs>
          <w:tab w:val="left" w:pos="7380"/>
          <w:tab w:val="left" w:pos="9602"/>
        </w:tabs>
        <w:ind w:right="-37" w:firstLine="284"/>
        <w:contextualSpacing/>
        <w:jc w:val="both"/>
        <w:outlineLvl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Відокремлення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більш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тонкої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фракції</w:t>
      </w:r>
      <w:proofErr w:type="spellEnd"/>
      <w:r>
        <w:rPr>
          <w:rFonts w:ascii="Times New Roman" w:hAnsi="Times New Roman" w:cs="Times New Roman"/>
        </w:rPr>
        <w:t xml:space="preserve"> золи (до 45 </w:t>
      </w:r>
      <w:proofErr w:type="spellStart"/>
      <w:r>
        <w:rPr>
          <w:rFonts w:ascii="Times New Roman" w:hAnsi="Times New Roman" w:cs="Times New Roman"/>
        </w:rPr>
        <w:t>або</w:t>
      </w:r>
      <w:proofErr w:type="spellEnd"/>
      <w:r>
        <w:rPr>
          <w:rFonts w:ascii="Times New Roman" w:hAnsi="Times New Roman" w:cs="Times New Roman"/>
        </w:rPr>
        <w:t xml:space="preserve"> 90 мкм) </w:t>
      </w:r>
      <w:proofErr w:type="spellStart"/>
      <w:r>
        <w:rPr>
          <w:rFonts w:ascii="Times New Roman" w:hAnsi="Times New Roman" w:cs="Times New Roman"/>
        </w:rPr>
        <w:t>можливо</w:t>
      </w:r>
      <w:proofErr w:type="spellEnd"/>
      <w:r>
        <w:rPr>
          <w:rFonts w:ascii="Times New Roman" w:hAnsi="Times New Roman" w:cs="Times New Roman"/>
        </w:rPr>
        <w:t xml:space="preserve"> не </w:t>
      </w:r>
      <w:proofErr w:type="spellStart"/>
      <w:r>
        <w:rPr>
          <w:rFonts w:ascii="Times New Roman" w:hAnsi="Times New Roman" w:cs="Times New Roman"/>
        </w:rPr>
        <w:t>тільки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завдяки</w:t>
      </w:r>
      <w:proofErr w:type="spellEnd"/>
      <w:r>
        <w:rPr>
          <w:rFonts w:ascii="Times New Roman" w:hAnsi="Times New Roman" w:cs="Times New Roman"/>
        </w:rPr>
        <w:t xml:space="preserve"> помелу, але й шляхом </w:t>
      </w:r>
      <w:proofErr w:type="spellStart"/>
      <w:r>
        <w:rPr>
          <w:rFonts w:ascii="Times New Roman" w:hAnsi="Times New Roman" w:cs="Times New Roman"/>
        </w:rPr>
        <w:t>сепарації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uk-UA"/>
        </w:rPr>
        <w:t xml:space="preserve"> Такий </w:t>
      </w:r>
      <w:proofErr w:type="gramStart"/>
      <w:r>
        <w:rPr>
          <w:rFonts w:ascii="Times New Roman" w:hAnsi="Times New Roman" w:cs="Times New Roman"/>
          <w:lang w:val="uk-UA"/>
        </w:rPr>
        <w:t>п</w:t>
      </w:r>
      <w:proofErr w:type="gramEnd"/>
      <w:r>
        <w:rPr>
          <w:rFonts w:ascii="Times New Roman" w:hAnsi="Times New Roman" w:cs="Times New Roman"/>
          <w:lang w:val="uk-UA"/>
        </w:rPr>
        <w:t xml:space="preserve">ідхід сприяє економії енергії в процесі </w:t>
      </w:r>
      <w:r>
        <w:rPr>
          <w:rFonts w:ascii="Times New Roman" w:hAnsi="Times New Roman" w:cs="Times New Roman"/>
        </w:rPr>
        <w:t>помел</w:t>
      </w:r>
      <w:r>
        <w:rPr>
          <w:rFonts w:ascii="Times New Roman" w:hAnsi="Times New Roman" w:cs="Times New Roman"/>
          <w:lang w:val="uk-UA"/>
        </w:rPr>
        <w:t>у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lang w:val="uk-UA"/>
        </w:rPr>
        <w:t xml:space="preserve"> але</w:t>
      </w:r>
      <w:r>
        <w:rPr>
          <w:rFonts w:ascii="Times New Roman" w:hAnsi="Times New Roman" w:cs="Times New Roman"/>
        </w:rPr>
        <w:t xml:space="preserve"> не</w:t>
      </w:r>
      <w:r>
        <w:rPr>
          <w:rFonts w:ascii="Times New Roman" w:hAnsi="Times New Roman" w:cs="Times New Roman"/>
          <w:lang w:val="uk-UA"/>
        </w:rPr>
        <w:t xml:space="preserve"> дозволяє утилізувати всі</w:t>
      </w:r>
      <w:r>
        <w:rPr>
          <w:rFonts w:ascii="Times New Roman" w:hAnsi="Times New Roman" w:cs="Times New Roman"/>
        </w:rPr>
        <w:t xml:space="preserve"> 100 % золи. [</w:t>
      </w:r>
      <w:r w:rsidRPr="009F407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].</w:t>
      </w:r>
      <w:r>
        <w:rPr>
          <w:rFonts w:ascii="Times New Roman" w:hAnsi="Times New Roman" w:cs="Times New Roman"/>
          <w:lang w:val="uk-UA"/>
        </w:rPr>
        <w:t xml:space="preserve">  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Хімічна активація </w:t>
      </w:r>
      <w:r>
        <w:rPr>
          <w:rFonts w:ascii="Times New Roman" w:hAnsi="Times New Roman"/>
          <w:sz w:val="20"/>
          <w:szCs w:val="20"/>
        </w:rPr>
        <w:t>золи найчастіше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пов’язана з розчиненням алюмосилікатного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скла золи у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лужному середовищі. Кислотна активація, яка іноді використовується у хімічній технології, широко не використовується в галузі будівельних матеріалів у зв’язку з високою вартістю як матеріалів, так і процесу, а також небезпечністю для персоналу та обладнання. На сьогодні існує декілька напрямків хімічної активації: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Лужноземельна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b/>
          <w:bCs/>
          <w:sz w:val="20"/>
          <w:szCs w:val="20"/>
        </w:rPr>
        <w:t xml:space="preserve">сульфатна </w:t>
      </w:r>
      <w:r>
        <w:rPr>
          <w:rFonts w:ascii="Times New Roman" w:hAnsi="Times New Roman"/>
          <w:sz w:val="20"/>
          <w:szCs w:val="20"/>
        </w:rPr>
        <w:t xml:space="preserve">та </w:t>
      </w:r>
      <w:r>
        <w:rPr>
          <w:rFonts w:ascii="Times New Roman" w:hAnsi="Times New Roman"/>
          <w:b/>
          <w:bCs/>
          <w:sz w:val="20"/>
          <w:szCs w:val="20"/>
        </w:rPr>
        <w:t>лужна активації</w:t>
      </w:r>
      <w:r>
        <w:rPr>
          <w:rFonts w:ascii="Times New Roman" w:hAnsi="Times New Roman"/>
          <w:sz w:val="20"/>
          <w:szCs w:val="20"/>
        </w:rPr>
        <w:t>. У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першому випадку як активатор золи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використовують портландцемент або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вапно; фазовий склад новоутворень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представлений переважно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низько основними гідросилікатами кальцію.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У другому випадку як активатор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використовують сульфати кальцію </w:t>
      </w:r>
      <w:r>
        <w:rPr>
          <w:rFonts w:ascii="Times New Roman" w:hAnsi="Times New Roman"/>
          <w:sz w:val="20"/>
          <w:szCs w:val="20"/>
        </w:rPr>
        <w:lastRenderedPageBreak/>
        <w:t>(гіпс або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наближені до нього за складом речовини), а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фазовий склад новоутворень представлений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переважно різними видами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гідросульфо-алюмінатів</w:t>
      </w:r>
      <w:proofErr w:type="spellEnd"/>
      <w:r>
        <w:rPr>
          <w:rFonts w:ascii="Times New Roman" w:hAnsi="Times New Roman"/>
          <w:sz w:val="20"/>
          <w:szCs w:val="20"/>
        </w:rPr>
        <w:t xml:space="preserve"> кальцію. 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 третьому випадку активаторами є гідроксиди, силікати або карбонати лужних металів, а новоутворення представлені відповідно лужноземельними або лужними гідросилікатами та </w:t>
      </w:r>
      <w:proofErr w:type="spellStart"/>
      <w:r>
        <w:rPr>
          <w:rFonts w:ascii="Times New Roman" w:hAnsi="Times New Roman"/>
          <w:sz w:val="20"/>
          <w:szCs w:val="20"/>
        </w:rPr>
        <w:t>гідроалюмосилікатами</w:t>
      </w:r>
      <w:proofErr w:type="spellEnd"/>
      <w:r>
        <w:rPr>
          <w:rFonts w:ascii="Times New Roman" w:hAnsi="Times New Roman"/>
          <w:sz w:val="20"/>
          <w:szCs w:val="20"/>
        </w:rPr>
        <w:t xml:space="preserve">. Недоліком сульфатної активації </w:t>
      </w:r>
      <w:proofErr w:type="spellStart"/>
      <w:r>
        <w:rPr>
          <w:rFonts w:ascii="Times New Roman" w:hAnsi="Times New Roman"/>
          <w:sz w:val="20"/>
          <w:szCs w:val="20"/>
        </w:rPr>
        <w:t>золовмісного</w:t>
      </w:r>
      <w:proofErr w:type="spellEnd"/>
      <w:r>
        <w:rPr>
          <w:rFonts w:ascii="Times New Roman" w:hAnsi="Times New Roman"/>
          <w:sz w:val="20"/>
          <w:szCs w:val="20"/>
        </w:rPr>
        <w:t xml:space="preserve"> цементу є нестабільність у часі </w:t>
      </w:r>
      <w:proofErr w:type="spellStart"/>
      <w:r>
        <w:rPr>
          <w:rFonts w:ascii="Times New Roman" w:hAnsi="Times New Roman"/>
          <w:sz w:val="20"/>
          <w:szCs w:val="20"/>
        </w:rPr>
        <w:t>гідросульфоалюмінатів</w:t>
      </w:r>
      <w:proofErr w:type="spellEnd"/>
      <w:r>
        <w:rPr>
          <w:rFonts w:ascii="Times New Roman" w:hAnsi="Times New Roman"/>
          <w:sz w:val="20"/>
          <w:szCs w:val="20"/>
        </w:rPr>
        <w:t xml:space="preserve">, у першу чергу – </w:t>
      </w:r>
      <w:proofErr w:type="spellStart"/>
      <w:r>
        <w:rPr>
          <w:rFonts w:ascii="Times New Roman" w:hAnsi="Times New Roman"/>
          <w:sz w:val="20"/>
          <w:szCs w:val="20"/>
        </w:rPr>
        <w:t>етрингіту</w:t>
      </w:r>
      <w:proofErr w:type="spellEnd"/>
      <w:r>
        <w:rPr>
          <w:rFonts w:ascii="Times New Roman" w:hAnsi="Times New Roman"/>
          <w:sz w:val="20"/>
          <w:szCs w:val="20"/>
        </w:rPr>
        <w:t xml:space="preserve">, а також можливість утворення вторинного </w:t>
      </w:r>
      <w:proofErr w:type="spellStart"/>
      <w:r>
        <w:rPr>
          <w:rFonts w:ascii="Times New Roman" w:hAnsi="Times New Roman"/>
          <w:sz w:val="20"/>
          <w:szCs w:val="20"/>
        </w:rPr>
        <w:t>етрингіту</w:t>
      </w:r>
      <w:proofErr w:type="spellEnd"/>
      <w:r>
        <w:rPr>
          <w:rFonts w:ascii="Times New Roman" w:hAnsi="Times New Roman"/>
          <w:sz w:val="20"/>
          <w:szCs w:val="20"/>
        </w:rPr>
        <w:t>, що може призвести до розвитку деструктивних процесів у структурі бетону, що твердіє. У той же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час, сульфатна активація за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наявності силікатних добавок може бути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ефективно використана для отримання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довговічних </w:t>
      </w:r>
      <w:proofErr w:type="spellStart"/>
      <w:r>
        <w:rPr>
          <w:rFonts w:ascii="Times New Roman" w:hAnsi="Times New Roman"/>
          <w:sz w:val="20"/>
          <w:szCs w:val="20"/>
        </w:rPr>
        <w:t>золовмісних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цементів</w:t>
      </w:r>
      <w:proofErr w:type="spellEnd"/>
      <w:r>
        <w:rPr>
          <w:rFonts w:ascii="Times New Roman" w:hAnsi="Times New Roman"/>
          <w:sz w:val="20"/>
          <w:szCs w:val="20"/>
        </w:rPr>
        <w:t xml:space="preserve"> та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матеріалів на їх основі незалежно від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технології випалювання вугілля та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вилучення золи. [</w:t>
      </w:r>
      <w:r w:rsidRPr="009F4077">
        <w:rPr>
          <w:rFonts w:ascii="Times New Roman" w:hAnsi="Times New Roman"/>
          <w:sz w:val="20"/>
          <w:szCs w:val="20"/>
          <w:lang w:val="ru-RU"/>
        </w:rPr>
        <w:t>4</w:t>
      </w:r>
      <w:r>
        <w:rPr>
          <w:rFonts w:ascii="Times New Roman" w:hAnsi="Times New Roman"/>
          <w:sz w:val="20"/>
          <w:szCs w:val="20"/>
        </w:rPr>
        <w:t>,</w:t>
      </w:r>
      <w:r w:rsidRPr="009F4077">
        <w:rPr>
          <w:rFonts w:ascii="Times New Roman" w:hAnsi="Times New Roman"/>
          <w:sz w:val="20"/>
          <w:szCs w:val="20"/>
          <w:lang w:val="ru-RU"/>
        </w:rPr>
        <w:t>6</w:t>
      </w:r>
      <w:r>
        <w:rPr>
          <w:rFonts w:ascii="Times New Roman" w:hAnsi="Times New Roman"/>
          <w:sz w:val="20"/>
          <w:szCs w:val="20"/>
        </w:rPr>
        <w:t>].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Лужноземельна активація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традиційно проводилась з використанням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сполук на основі лужноземельних металів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(кальцієвмісних речовин: вапна,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портландцементу тощо). Отримані таким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чином вапняно-зольні в’яжучі або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пуцоланові портландцементи на основі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золи широко використовуються у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будівельній галузі. Як правило,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традиційний підхід не дозволяє вводити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значну кількість золи до складу в’яжучої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системи, що стримує подальший розвиток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концепції використання «високо </w:t>
      </w:r>
      <w:proofErr w:type="spellStart"/>
      <w:r>
        <w:rPr>
          <w:rFonts w:ascii="Times New Roman" w:hAnsi="Times New Roman"/>
          <w:sz w:val="20"/>
          <w:szCs w:val="20"/>
        </w:rPr>
        <w:t>золовмісних</w:t>
      </w:r>
      <w:proofErr w:type="spellEnd"/>
      <w:r>
        <w:rPr>
          <w:rFonts w:ascii="Times New Roman" w:hAnsi="Times New Roman"/>
          <w:sz w:val="20"/>
          <w:szCs w:val="20"/>
        </w:rPr>
        <w:t xml:space="preserve">» </w:t>
      </w:r>
      <w:proofErr w:type="spellStart"/>
      <w:r>
        <w:rPr>
          <w:rFonts w:ascii="Times New Roman" w:hAnsi="Times New Roman"/>
          <w:sz w:val="20"/>
          <w:szCs w:val="20"/>
        </w:rPr>
        <w:t>цементів</w:t>
      </w:r>
      <w:proofErr w:type="spellEnd"/>
      <w:r>
        <w:rPr>
          <w:rFonts w:ascii="Times New Roman" w:hAnsi="Times New Roman"/>
          <w:sz w:val="20"/>
          <w:szCs w:val="20"/>
        </w:rPr>
        <w:t>. Прогрес у розвитку лужних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в’яжучих дозволив запропонувати інші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підходи до вирішення цієї проблеми, що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передбачають використання сполук лужних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металів. Особливістю таких систем, де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використовується лужна </w:t>
      </w:r>
      <w:r>
        <w:rPr>
          <w:rFonts w:ascii="Times New Roman" w:hAnsi="Times New Roman"/>
          <w:bCs/>
          <w:sz w:val="20"/>
          <w:szCs w:val="20"/>
        </w:rPr>
        <w:t>активація</w:t>
      </w:r>
      <w:r>
        <w:rPr>
          <w:rFonts w:ascii="Times New Roman" w:hAnsi="Times New Roman"/>
          <w:sz w:val="20"/>
          <w:szCs w:val="20"/>
        </w:rPr>
        <w:t>, є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високе значення </w:t>
      </w:r>
      <w:proofErr w:type="spellStart"/>
      <w:r>
        <w:rPr>
          <w:rFonts w:ascii="Times New Roman" w:hAnsi="Times New Roman"/>
          <w:sz w:val="20"/>
          <w:szCs w:val="20"/>
        </w:rPr>
        <w:t>рН</w:t>
      </w:r>
      <w:proofErr w:type="spellEnd"/>
      <w:r>
        <w:rPr>
          <w:rFonts w:ascii="Times New Roman" w:hAnsi="Times New Roman"/>
          <w:sz w:val="20"/>
          <w:szCs w:val="20"/>
        </w:rPr>
        <w:t xml:space="preserve"> дисперсійного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середовища.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При правильному підборі складу та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концентрації лужного активатора сполуки лужних металів різко інтенсифікують першу стадію хімічної деструкції вихідної алюмосилікатної фази золи, а потім беруть активну участь у процесах синтезу. [</w:t>
      </w:r>
      <w:r w:rsidRPr="009F4077">
        <w:rPr>
          <w:rFonts w:ascii="Times New Roman" w:hAnsi="Times New Roman"/>
          <w:sz w:val="20"/>
          <w:szCs w:val="20"/>
          <w:lang w:val="ru-RU"/>
        </w:rPr>
        <w:t>4</w:t>
      </w:r>
      <w:r>
        <w:rPr>
          <w:rFonts w:ascii="Times New Roman" w:hAnsi="Times New Roman"/>
          <w:sz w:val="20"/>
          <w:szCs w:val="20"/>
        </w:rPr>
        <w:t>,</w:t>
      </w:r>
      <w:r w:rsidRPr="009F4077">
        <w:rPr>
          <w:rFonts w:ascii="Times New Roman" w:hAnsi="Times New Roman"/>
          <w:sz w:val="20"/>
          <w:szCs w:val="20"/>
          <w:lang w:val="ru-RU"/>
        </w:rPr>
        <w:t>5</w:t>
      </w:r>
      <w:r>
        <w:rPr>
          <w:rFonts w:ascii="Times New Roman" w:hAnsi="Times New Roman"/>
          <w:sz w:val="20"/>
          <w:szCs w:val="20"/>
        </w:rPr>
        <w:t>].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Термічна активація </w:t>
      </w:r>
      <w:r>
        <w:rPr>
          <w:rFonts w:ascii="Times New Roman" w:hAnsi="Times New Roman"/>
          <w:sz w:val="20"/>
          <w:szCs w:val="20"/>
        </w:rPr>
        <w:t>базується на збільшенні розчинності кремнезему та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глинозему при підвищенні температури. Що стосується </w:t>
      </w:r>
      <w:proofErr w:type="spellStart"/>
      <w:r>
        <w:rPr>
          <w:rFonts w:ascii="Times New Roman" w:hAnsi="Times New Roman"/>
          <w:sz w:val="20"/>
          <w:szCs w:val="20"/>
        </w:rPr>
        <w:t>цементів</w:t>
      </w:r>
      <w:proofErr w:type="spellEnd"/>
      <w:r>
        <w:rPr>
          <w:rFonts w:ascii="Times New Roman" w:hAnsi="Times New Roman"/>
          <w:sz w:val="20"/>
          <w:szCs w:val="20"/>
        </w:rPr>
        <w:t xml:space="preserve"> на основі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активованих зол, то термічна активація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використовується на етапі мокрого помелу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або теплової обробки відформованих виробів (пропарювання, </w:t>
      </w:r>
      <w:proofErr w:type="spellStart"/>
      <w:r>
        <w:rPr>
          <w:rFonts w:ascii="Times New Roman" w:hAnsi="Times New Roman"/>
          <w:sz w:val="20"/>
          <w:szCs w:val="20"/>
        </w:rPr>
        <w:t>автоклавування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тощо). Як і у випадку механічної, термічна активація ефективна тільки у поєднанні з хімічною. 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Додаткове використання </w:t>
      </w:r>
      <w:proofErr w:type="spellStart"/>
      <w:r>
        <w:rPr>
          <w:rFonts w:ascii="Times New Roman" w:hAnsi="Times New Roman"/>
          <w:sz w:val="20"/>
          <w:szCs w:val="20"/>
        </w:rPr>
        <w:t>пластифікуючих</w:t>
      </w:r>
      <w:proofErr w:type="spellEnd"/>
      <w:r>
        <w:rPr>
          <w:rFonts w:ascii="Times New Roman" w:hAnsi="Times New Roman"/>
          <w:sz w:val="20"/>
          <w:szCs w:val="20"/>
        </w:rPr>
        <w:t xml:space="preserve"> добавок (враховуючи відносно велику кількість використаної золи у складі в’яжучої системи) необхідно як для регулювання реологічних властивостей отриманих бетонних сумішей, так і кінетики набору міцності бетону на ранніх етапах твердіння.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Мікрохвильова активація </w:t>
      </w:r>
      <w:r>
        <w:rPr>
          <w:rFonts w:ascii="Times New Roman" w:hAnsi="Times New Roman"/>
          <w:sz w:val="20"/>
          <w:szCs w:val="20"/>
        </w:rPr>
        <w:t>При традиційному нагріві передача теплоти від нагрівача до об'єкту, що нагрівається, відбувається поступово, за рахунок конвекції, теплопровідності і радіаційного переносу теплової енергії від зовнішніх ділянок до внутрішніх і завжди пов'язана з виникненням температурного градієнта. МХ - випромінювання, в багатьох випадках володіє досить доброю проникною здатністю, з молекулами (іонами) по всьому об'єму опроміненого матеріалу. В результаті нагрівання відбувається одразу по всьому об'єму опроміненого зразка [</w:t>
      </w:r>
      <w:r>
        <w:rPr>
          <w:rFonts w:ascii="Times New Roman" w:hAnsi="Times New Roman"/>
          <w:sz w:val="20"/>
          <w:szCs w:val="20"/>
          <w:lang w:val="ru-RU"/>
        </w:rPr>
        <w:t>8</w:t>
      </w:r>
      <w:r>
        <w:rPr>
          <w:rFonts w:ascii="Times New Roman" w:hAnsi="Times New Roman"/>
          <w:sz w:val="20"/>
          <w:szCs w:val="20"/>
        </w:rPr>
        <w:t>].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Помітне поглинання МХ - випромінювання спостерігається при опроміненні багатьох рідин і рідких розчинів. Особливо сильне поглинання спостерігається у води та водних розчинів. Взаємодія МХ - випромінювання з твердими зразками може супроводжуватися його відбиттям, поглинанням та проходженням через об’єм зразка без послаблення.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Тверді матеріали по характеру взаємодії з МХ - випромінюванням можна розділити на три групи. До першої групи належать метали, гладка поверхня яких повністю відбиває МХ - промені. При цьому метал не нагрівається, тому що втрат енергії МХ - випромінювання в його об’ємі  практично немає. Якщо ж поверхня металу шорстка, то МХ - випромінювання здатне викликати на таких поверхнях дуговий розряд [</w:t>
      </w:r>
      <w:r>
        <w:rPr>
          <w:rFonts w:ascii="Times New Roman" w:hAnsi="Times New Roman"/>
          <w:sz w:val="20"/>
          <w:szCs w:val="20"/>
          <w:lang w:val="ru-RU"/>
        </w:rPr>
        <w:t>8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>].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 другої групи належать діелектрики, пропускають МХ - випромінювання через свій  об’єм практично незміненим: оксиди кремнію, різні види скла, фарфор і фаянс, поліетилен, полістирол і фторопласти (тефлон та ін.).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До третьої групи належать діелектрики, при проходженні через об’єм  яких відбувається поглинання МХ- випромінювання, що супроводжується, зокрема, розігрівом зразків. 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Поглинання МХ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- випромінювання обумовлено дією двох чинників. По-перше, при накладенні МХ - поля рух диполів (полярних молекул чи інших відокремлених груп атомів) набуває певну орієнтацію, пов'язану з характером накладеного поля. Коли інтенсивність МХ - поля зменшується, орієнтація, що виникла зникає і хаотичність обертального (і коливального) руху молекул відновлюється, при цьому виділяється теплова енергія. При частоті 2,45 ГГц орієнтація диполів молекул і їх </w:t>
      </w:r>
      <w:proofErr w:type="spellStart"/>
      <w:r>
        <w:rPr>
          <w:rFonts w:ascii="Times New Roman" w:hAnsi="Times New Roman"/>
          <w:sz w:val="20"/>
          <w:szCs w:val="20"/>
        </w:rPr>
        <w:t>розупорядкування</w:t>
      </w:r>
      <w:proofErr w:type="spellEnd"/>
      <w:r>
        <w:rPr>
          <w:rFonts w:ascii="Times New Roman" w:hAnsi="Times New Roman"/>
          <w:sz w:val="20"/>
          <w:szCs w:val="20"/>
        </w:rPr>
        <w:t xml:space="preserve"> може відбуватися кілька мільярдів раз в 1 с, що і призводить до швидкого розігріву зразка. Для поглинання МХ - випромінювання по цьому механізму необхідно, щоб зв'язок диполя з оточуючими його в речовині атомами забезпечувала певну свободу його обертального (коливального) руху. Якщо диполь пов'язаний з матрицею жорстко і такі коливання слабкі, то і помітного поглинання енергії МХ - поля цим шляхом відбуватися не буде [9].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Другий фактор, особливо важливий для тепловиділення при МХ - впливі у водних розчинах, обумовлений спрямованою міграцією присутніх в розчині іонів під дією зовнішнього поля. Така міграція іонів - це фактично </w:t>
      </w:r>
      <w:proofErr w:type="spellStart"/>
      <w:r>
        <w:rPr>
          <w:rFonts w:ascii="Times New Roman" w:hAnsi="Times New Roman"/>
          <w:sz w:val="20"/>
          <w:szCs w:val="20"/>
        </w:rPr>
        <w:t>протікаючий</w:t>
      </w:r>
      <w:proofErr w:type="spellEnd"/>
      <w:r>
        <w:rPr>
          <w:rFonts w:ascii="Times New Roman" w:hAnsi="Times New Roman"/>
          <w:sz w:val="20"/>
          <w:szCs w:val="20"/>
        </w:rPr>
        <w:t xml:space="preserve"> через розчин електричний струм силою I. Проходження струму I через провідник з опором R призводить до виділення теплоти, пропорційної IR</w:t>
      </w:r>
      <w:r>
        <w:rPr>
          <w:rFonts w:ascii="Times New Roman" w:hAnsi="Times New Roman"/>
          <w:sz w:val="20"/>
          <w:szCs w:val="20"/>
          <w:vertAlign w:val="subscript"/>
        </w:rPr>
        <w:t>2</w:t>
      </w:r>
      <w:r>
        <w:rPr>
          <w:rFonts w:ascii="Times New Roman" w:hAnsi="Times New Roman"/>
          <w:sz w:val="20"/>
          <w:szCs w:val="20"/>
        </w:rPr>
        <w:t>. Так як опір R зростає з ростом температури, а сила струму, що переноситься іонами  I - з ростом їх концентрації, то обидва ці чинники помітно впливають на тангенс втрат МХ - випромінювання в розчинах.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Об'ємний, а не тільки поверхневий (як це відбувається при звичайній тепловій дії) характер розігріву зразків, що опромінюються  - важлива особливість впливу МХ - поля. Якщо контейнер для зразка виготовлений з матеріалу, який практично не поглинає МХ - випромінювання, то під дією МХ - поля може спостерігатися швидкий підйом температури по всьому об'єму матеріалу, що міститься в контейнері.  В результаті виникає значне прискорення різних хімічних процесів (органічні реакції, процеси розкладання, спікання) [</w:t>
      </w:r>
      <w:r>
        <w:rPr>
          <w:rFonts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  <w:lang w:val="ru-RU"/>
        </w:rPr>
        <w:t>11</w:t>
      </w:r>
      <w:r>
        <w:rPr>
          <w:rFonts w:ascii="Times New Roman" w:hAnsi="Times New Roman"/>
          <w:sz w:val="20"/>
          <w:szCs w:val="20"/>
        </w:rPr>
        <w:t>].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Вплив МХ - випромінювання може призводити до деструкції молекул і появі в зразку, що опромінюється, підвищеної концентрації вільних радикалів. Це дозволяє в деяких випадках проводити з використанням МХ – опромінення, хімічні реакції, початок яких зумовлено появою (зазвичай в рідкому середовищі) цих радикалів. Так як такі реакції здійснити без МХ - опромінення взагалі не вдається, то їх перебіг під дією МХ - випромінювання іноді називають мікрохвильовим каталізом.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жаль, в даний час теорія взаємодії МХ - випромінювання з діелектриками поки ще не досягла такого ступеня розвитку, яка дозволила б заздалегідь передбачити, буде спостерігатися помітне поглинання МХ - поля діелектриком, чи ні. Тому доводиться проводити великі дослідження з вивчення впливу МХ - випромінювання на різні об'єкти.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 роботі «Обробка природного карбонату кальцію в </w:t>
      </w:r>
      <w:proofErr w:type="spellStart"/>
      <w:r>
        <w:rPr>
          <w:rFonts w:ascii="Times New Roman" w:hAnsi="Times New Roman"/>
          <w:sz w:val="20"/>
          <w:szCs w:val="20"/>
        </w:rPr>
        <w:t>свч</w:t>
      </w:r>
      <w:proofErr w:type="spellEnd"/>
      <w:r>
        <w:rPr>
          <w:rFonts w:ascii="Times New Roman" w:hAnsi="Times New Roman"/>
          <w:sz w:val="20"/>
          <w:szCs w:val="20"/>
        </w:rPr>
        <w:t xml:space="preserve"> - печі при дії поля біжучих електромагнітних хвиль» </w:t>
      </w:r>
      <w:proofErr w:type="spellStart"/>
      <w:r>
        <w:rPr>
          <w:rFonts w:ascii="Times New Roman" w:hAnsi="Times New Roman"/>
          <w:sz w:val="20"/>
          <w:szCs w:val="20"/>
        </w:rPr>
        <w:t>Шахін</w:t>
      </w:r>
      <w:proofErr w:type="spellEnd"/>
      <w:r>
        <w:rPr>
          <w:rFonts w:ascii="Times New Roman" w:hAnsi="Times New Roman"/>
          <w:sz w:val="20"/>
          <w:szCs w:val="20"/>
        </w:rPr>
        <w:t xml:space="preserve"> І.Х., </w:t>
      </w:r>
      <w:proofErr w:type="spellStart"/>
      <w:r>
        <w:rPr>
          <w:rFonts w:ascii="Times New Roman" w:hAnsi="Times New Roman"/>
          <w:sz w:val="20"/>
          <w:szCs w:val="20"/>
        </w:rPr>
        <w:t>Шапорев</w:t>
      </w:r>
      <w:proofErr w:type="spellEnd"/>
      <w:r>
        <w:rPr>
          <w:rFonts w:ascii="Times New Roman" w:hAnsi="Times New Roman"/>
          <w:sz w:val="20"/>
          <w:szCs w:val="20"/>
        </w:rPr>
        <w:t xml:space="preserve"> В.П  були проведені дослідження карбонату кальцію двох </w:t>
      </w:r>
      <w:proofErr w:type="spellStart"/>
      <w:r>
        <w:rPr>
          <w:rFonts w:ascii="Times New Roman" w:hAnsi="Times New Roman"/>
          <w:sz w:val="20"/>
          <w:szCs w:val="20"/>
        </w:rPr>
        <w:t>модифікацій-</w:t>
      </w:r>
      <w:proofErr w:type="spellEnd"/>
      <w:r>
        <w:rPr>
          <w:rFonts w:ascii="Times New Roman" w:hAnsi="Times New Roman"/>
          <w:sz w:val="20"/>
          <w:szCs w:val="20"/>
        </w:rPr>
        <w:t xml:space="preserve"> кальцитової та </w:t>
      </w:r>
      <w:proofErr w:type="spellStart"/>
      <w:r>
        <w:rPr>
          <w:rFonts w:ascii="Times New Roman" w:hAnsi="Times New Roman"/>
          <w:sz w:val="20"/>
          <w:szCs w:val="20"/>
        </w:rPr>
        <w:t>арагонітової</w:t>
      </w:r>
      <w:proofErr w:type="spellEnd"/>
      <w:r>
        <w:rPr>
          <w:rFonts w:ascii="Times New Roman" w:hAnsi="Times New Roman"/>
          <w:sz w:val="20"/>
          <w:szCs w:val="20"/>
        </w:rPr>
        <w:t>. В ході якої не виявлено істотний вплив модифікації структури СаСО</w:t>
      </w:r>
      <w:r>
        <w:rPr>
          <w:rFonts w:ascii="Times New Roman" w:hAnsi="Times New Roman"/>
          <w:sz w:val="20"/>
          <w:szCs w:val="20"/>
          <w:vertAlign w:val="subscript"/>
        </w:rPr>
        <w:t>3</w:t>
      </w:r>
      <w:r>
        <w:rPr>
          <w:rFonts w:ascii="Times New Roman" w:hAnsi="Times New Roman"/>
          <w:sz w:val="20"/>
          <w:szCs w:val="20"/>
        </w:rPr>
        <w:t xml:space="preserve"> на електрофізичні властивості карбонатів. Таким чином, можна вважати, характеристики, властиві для кальциту можуть бути використані для арагоніту.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Також було виявлено, що властивості отриманого продукту в СВЧ - печі, відрізняється від властивостей </w:t>
      </w:r>
      <w:proofErr w:type="spellStart"/>
      <w:r>
        <w:rPr>
          <w:rFonts w:ascii="Times New Roman" w:hAnsi="Times New Roman"/>
          <w:sz w:val="20"/>
          <w:szCs w:val="20"/>
        </w:rPr>
        <w:t>СаО</w:t>
      </w:r>
      <w:proofErr w:type="spellEnd"/>
      <w:r>
        <w:rPr>
          <w:rFonts w:ascii="Times New Roman" w:hAnsi="Times New Roman"/>
          <w:sz w:val="20"/>
          <w:szCs w:val="20"/>
        </w:rPr>
        <w:t xml:space="preserve"> виробленого за традиційною технологією; показано, що це явище вимагає спеціальних досліджень [</w:t>
      </w:r>
      <w:r>
        <w:rPr>
          <w:rFonts w:ascii="Times New Roman" w:hAnsi="Times New Roman"/>
          <w:sz w:val="20"/>
          <w:szCs w:val="20"/>
          <w:lang w:val="ru-RU"/>
        </w:rPr>
        <w:t>12</w:t>
      </w:r>
      <w:r>
        <w:rPr>
          <w:rFonts w:ascii="Times New Roman" w:hAnsi="Times New Roman"/>
          <w:sz w:val="20"/>
          <w:szCs w:val="20"/>
        </w:rPr>
        <w:t xml:space="preserve">]. </w:t>
      </w:r>
    </w:p>
    <w:p w:rsidR="009F4077" w:rsidRDefault="009F4077" w:rsidP="009F407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Багато неорганічні речовини (оксиди, сульфіди, карбіди, деякі кисневмісні солі) здатні інтенсивно поглинати МХ - випромінювання і при цьому зі швидкістю більше 100 град./хв. розігріватися до температури 1000°C і вище, що використовують при синтезі різних неорганічних матеріалів. Перевага такого нагріву полягає, зокрема, в тому, що вдається уникнути неконтрольованої зміни складу вихідної шихти і здійснити рівномірне спікання по всьому об'єму. При проведенні таких синтезів використовують як суміші, кожен компонент з яких здатний поглинати МХ - випромінювання і нагріватися під його дією, так і суміші, в яких МХ - випромінювання поглинає тільки один або декілька з усіх вихідних реагентів. [8-11]. </w:t>
      </w:r>
    </w:p>
    <w:p w:rsidR="009F4077" w:rsidRDefault="009F4077" w:rsidP="009F4077">
      <w:pPr>
        <w:spacing w:after="0" w:line="36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Висновок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 В результаті проведених інформаційних досліджень щодо механічної активації було визначено, що він  полягає у підвищенні питомої поверхні вихідної золи шляхом її помелу, але збільшення її понад 700 м</w:t>
      </w: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 xml:space="preserve">/кг призводить до зниження міцності внаслідок збільшення </w:t>
      </w:r>
      <w:proofErr w:type="spellStart"/>
      <w:r>
        <w:rPr>
          <w:rFonts w:ascii="Times New Roman" w:hAnsi="Times New Roman"/>
          <w:sz w:val="20"/>
          <w:szCs w:val="20"/>
        </w:rPr>
        <w:t>водопотреби</w:t>
      </w:r>
      <w:proofErr w:type="spellEnd"/>
      <w:r>
        <w:rPr>
          <w:rFonts w:ascii="Times New Roman" w:hAnsi="Times New Roman"/>
          <w:sz w:val="20"/>
          <w:szCs w:val="20"/>
        </w:rPr>
        <w:t>. Ефективна тільки у поєднанні з хімічною так само як термальна активація.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Недоліком сульфатної активації </w:t>
      </w:r>
      <w:proofErr w:type="spellStart"/>
      <w:r>
        <w:rPr>
          <w:rFonts w:ascii="Times New Roman" w:hAnsi="Times New Roman"/>
          <w:sz w:val="20"/>
          <w:szCs w:val="20"/>
        </w:rPr>
        <w:t>золовмісних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цементів</w:t>
      </w:r>
      <w:proofErr w:type="spellEnd"/>
      <w:r>
        <w:rPr>
          <w:rFonts w:ascii="Times New Roman" w:hAnsi="Times New Roman"/>
          <w:sz w:val="20"/>
          <w:szCs w:val="20"/>
        </w:rPr>
        <w:t xml:space="preserve"> є нестабільність у часі </w:t>
      </w:r>
      <w:proofErr w:type="spellStart"/>
      <w:r>
        <w:rPr>
          <w:rFonts w:ascii="Times New Roman" w:hAnsi="Times New Roman"/>
          <w:sz w:val="20"/>
          <w:szCs w:val="20"/>
        </w:rPr>
        <w:t>гідросульфоалюмінатів</w:t>
      </w:r>
      <w:proofErr w:type="spellEnd"/>
      <w:r>
        <w:rPr>
          <w:rFonts w:ascii="Times New Roman" w:hAnsi="Times New Roman"/>
          <w:sz w:val="20"/>
          <w:szCs w:val="20"/>
        </w:rPr>
        <w:t>, що може призвести до розвитку деструктивних процесів у структурі бетону, що твердіє.</w:t>
      </w:r>
    </w:p>
    <w:p w:rsid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-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Традиційний підхід не дозволяє вводити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значну кількість золи до складу в’яжучої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системи, що стримує подальший розвиток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концепції використання «високо </w:t>
      </w:r>
      <w:proofErr w:type="spellStart"/>
      <w:r>
        <w:rPr>
          <w:rFonts w:ascii="Times New Roman" w:hAnsi="Times New Roman"/>
          <w:sz w:val="20"/>
          <w:szCs w:val="20"/>
        </w:rPr>
        <w:t>золовмісних</w:t>
      </w:r>
      <w:proofErr w:type="spellEnd"/>
      <w:r>
        <w:rPr>
          <w:rFonts w:ascii="Times New Roman" w:hAnsi="Times New Roman"/>
          <w:sz w:val="20"/>
          <w:szCs w:val="20"/>
        </w:rPr>
        <w:t xml:space="preserve">» </w:t>
      </w:r>
      <w:proofErr w:type="spellStart"/>
      <w:r>
        <w:rPr>
          <w:rFonts w:ascii="Times New Roman" w:hAnsi="Times New Roman"/>
          <w:sz w:val="20"/>
          <w:szCs w:val="20"/>
        </w:rPr>
        <w:t>цементів</w:t>
      </w:r>
      <w:proofErr w:type="spellEnd"/>
      <w:r>
        <w:rPr>
          <w:rFonts w:ascii="Times New Roman" w:hAnsi="Times New Roman"/>
          <w:sz w:val="20"/>
          <w:szCs w:val="20"/>
        </w:rPr>
        <w:t>, але впровадження сполук лужних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металів дає змогу проводити нові досліди в даному напрямку. </w:t>
      </w:r>
    </w:p>
    <w:p w:rsidR="009F4077" w:rsidRPr="009F4077" w:rsidRDefault="009F4077" w:rsidP="009F40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proofErr w:type="spellStart"/>
      <w:r>
        <w:rPr>
          <w:rFonts w:ascii="Times New Roman" w:hAnsi="Times New Roman"/>
          <w:sz w:val="20"/>
          <w:szCs w:val="20"/>
        </w:rPr>
        <w:t>Мх</w:t>
      </w:r>
      <w:proofErr w:type="spellEnd"/>
      <w:r>
        <w:rPr>
          <w:rFonts w:ascii="Times New Roman" w:hAnsi="Times New Roman"/>
          <w:sz w:val="20"/>
          <w:szCs w:val="20"/>
        </w:rPr>
        <w:t xml:space="preserve"> опромінення </w:t>
      </w:r>
      <w:proofErr w:type="gramStart"/>
      <w:r>
        <w:rPr>
          <w:rFonts w:ascii="Times New Roman" w:hAnsi="Times New Roman"/>
          <w:sz w:val="20"/>
          <w:szCs w:val="20"/>
        </w:rPr>
        <w:t>являється</w:t>
      </w:r>
      <w:proofErr w:type="gramEnd"/>
      <w:r>
        <w:rPr>
          <w:rFonts w:ascii="Times New Roman" w:hAnsi="Times New Roman"/>
          <w:sz w:val="20"/>
          <w:szCs w:val="20"/>
        </w:rPr>
        <w:t xml:space="preserve"> досить перспективним методом активації золи. Сприяє більш рівномірному і швидкому розігріву, що в свою чергу вивільняє сполуки, які приймають активну участь в процесі тужавлення золо-цементних розчинів.</w:t>
      </w:r>
    </w:p>
    <w:p w:rsidR="009F4077" w:rsidRPr="009F4077" w:rsidRDefault="009F4077" w:rsidP="009F4077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9F4077" w:rsidRDefault="009F4077" w:rsidP="009F4077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i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Література</w:t>
      </w:r>
    </w:p>
    <w:p w:rsidR="009F4077" w:rsidRDefault="009F4077" w:rsidP="009F4077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i/>
          <w:sz w:val="18"/>
          <w:szCs w:val="18"/>
        </w:rPr>
      </w:pPr>
    </w:p>
    <w:p w:rsidR="009F4077" w:rsidRDefault="009F4077" w:rsidP="009F407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Setting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and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Hardening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Behavior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Using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Ultrasound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and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Compression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strength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development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of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concrete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with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different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levels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of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cement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by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fly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ash</w:t>
      </w:r>
      <w:proofErr w:type="spellEnd"/>
      <w:r>
        <w:rPr>
          <w:rFonts w:ascii="Times New Roman" w:hAnsi="Times New Roman"/>
          <w:sz w:val="18"/>
          <w:szCs w:val="18"/>
        </w:rPr>
        <w:t xml:space="preserve">: 2-th </w:t>
      </w:r>
      <w:proofErr w:type="spellStart"/>
      <w:r>
        <w:rPr>
          <w:rFonts w:ascii="Times New Roman" w:hAnsi="Times New Roman"/>
          <w:sz w:val="18"/>
          <w:szCs w:val="18"/>
        </w:rPr>
        <w:t>International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Symposium</w:t>
      </w:r>
      <w:proofErr w:type="spellEnd"/>
      <w:r>
        <w:rPr>
          <w:rFonts w:ascii="Times New Roman" w:hAnsi="Times New Roman"/>
          <w:sz w:val="18"/>
          <w:szCs w:val="18"/>
        </w:rPr>
        <w:t xml:space="preserve">[―Non-Traditional </w:t>
      </w:r>
      <w:proofErr w:type="spellStart"/>
      <w:r>
        <w:rPr>
          <w:rFonts w:ascii="Times New Roman" w:hAnsi="Times New Roman"/>
          <w:sz w:val="18"/>
          <w:szCs w:val="18"/>
        </w:rPr>
        <w:t>cement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and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concrete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Bilck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and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Kcrsner</w:t>
      </w:r>
      <w:proofErr w:type="spellEnd"/>
      <w:r>
        <w:rPr>
          <w:rFonts w:ascii="Times New Roman" w:hAnsi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/>
          <w:sz w:val="18"/>
          <w:szCs w:val="18"/>
        </w:rPr>
        <w:t>eds</w:t>
      </w:r>
      <w:proofErr w:type="spellEnd"/>
      <w:r>
        <w:rPr>
          <w:rFonts w:ascii="Times New Roman" w:hAnsi="Times New Roman"/>
          <w:sz w:val="18"/>
          <w:szCs w:val="18"/>
        </w:rPr>
        <w:t>)‖], (</w:t>
      </w:r>
      <w:proofErr w:type="spellStart"/>
      <w:r>
        <w:rPr>
          <w:rFonts w:ascii="Times New Roman" w:hAnsi="Times New Roman"/>
          <w:sz w:val="18"/>
          <w:szCs w:val="18"/>
        </w:rPr>
        <w:t>Brno</w:t>
      </w:r>
      <w:proofErr w:type="spellEnd"/>
      <w:r>
        <w:rPr>
          <w:rFonts w:ascii="Times New Roman" w:hAnsi="Times New Roman"/>
          <w:sz w:val="18"/>
          <w:szCs w:val="18"/>
        </w:rPr>
        <w:t xml:space="preserve">, 1980) / </w:t>
      </w:r>
      <w:proofErr w:type="spellStart"/>
      <w:r>
        <w:rPr>
          <w:rFonts w:ascii="Times New Roman" w:hAnsi="Times New Roman"/>
          <w:sz w:val="18"/>
          <w:szCs w:val="18"/>
        </w:rPr>
        <w:t>Nele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De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Belie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ChristianGrosse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Gert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Baert</w:t>
      </w:r>
      <w:proofErr w:type="spellEnd"/>
      <w:r>
        <w:rPr>
          <w:rFonts w:ascii="Times New Roman" w:hAnsi="Times New Roman"/>
          <w:sz w:val="18"/>
          <w:szCs w:val="18"/>
        </w:rPr>
        <w:t xml:space="preserve">. – </w:t>
      </w:r>
      <w:proofErr w:type="spellStart"/>
      <w:r>
        <w:rPr>
          <w:rFonts w:ascii="Times New Roman" w:hAnsi="Times New Roman"/>
          <w:sz w:val="18"/>
          <w:szCs w:val="18"/>
        </w:rPr>
        <w:t>Brno</w:t>
      </w:r>
      <w:proofErr w:type="spellEnd"/>
      <w:r>
        <w:rPr>
          <w:rFonts w:ascii="Times New Roman" w:hAnsi="Times New Roman"/>
          <w:sz w:val="18"/>
          <w:szCs w:val="18"/>
        </w:rPr>
        <w:t>, ISBN, 1980. – 214. – P. 2853-2858.</w:t>
      </w:r>
    </w:p>
    <w:p w:rsidR="009F4077" w:rsidRDefault="009F4077" w:rsidP="009F407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The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Use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of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Fly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Ash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in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Concrete</w:t>
      </w:r>
      <w:proofErr w:type="spellEnd"/>
      <w:r>
        <w:rPr>
          <w:rFonts w:ascii="Times New Roman" w:hAnsi="Times New Roman"/>
          <w:sz w:val="18"/>
          <w:szCs w:val="18"/>
        </w:rPr>
        <w:t xml:space="preserve">: A </w:t>
      </w:r>
      <w:proofErr w:type="spellStart"/>
      <w:r>
        <w:rPr>
          <w:rFonts w:ascii="Times New Roman" w:hAnsi="Times New Roman"/>
          <w:sz w:val="18"/>
          <w:szCs w:val="18"/>
        </w:rPr>
        <w:t>Question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of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Classification</w:t>
      </w:r>
      <w:proofErr w:type="spellEnd"/>
      <w:r>
        <w:rPr>
          <w:rFonts w:ascii="Times New Roman" w:hAnsi="Times New Roman"/>
          <w:sz w:val="18"/>
          <w:szCs w:val="18"/>
        </w:rPr>
        <w:t xml:space="preserve">: </w:t>
      </w:r>
      <w:proofErr w:type="spellStart"/>
      <w:r>
        <w:rPr>
          <w:rFonts w:ascii="Times New Roman" w:hAnsi="Times New Roman"/>
          <w:sz w:val="18"/>
          <w:szCs w:val="18"/>
        </w:rPr>
        <w:t>intern</w:t>
      </w:r>
      <w:proofErr w:type="spellEnd"/>
      <w:r>
        <w:rPr>
          <w:rFonts w:ascii="Times New Roman" w:hAnsi="Times New Roman"/>
          <w:sz w:val="18"/>
          <w:szCs w:val="18"/>
        </w:rPr>
        <w:t xml:space="preserve">. </w:t>
      </w:r>
      <w:proofErr w:type="spellStart"/>
      <w:r>
        <w:rPr>
          <w:rFonts w:ascii="Times New Roman" w:hAnsi="Times New Roman"/>
          <w:sz w:val="18"/>
          <w:szCs w:val="18"/>
        </w:rPr>
        <w:t>ash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Util</w:t>
      </w:r>
      <w:proofErr w:type="spellEnd"/>
      <w:r>
        <w:rPr>
          <w:rFonts w:ascii="Times New Roman" w:hAnsi="Times New Roman"/>
          <w:sz w:val="18"/>
          <w:szCs w:val="18"/>
        </w:rPr>
        <w:t xml:space="preserve">. </w:t>
      </w:r>
      <w:proofErr w:type="spellStart"/>
      <w:r>
        <w:rPr>
          <w:rFonts w:ascii="Times New Roman" w:hAnsi="Times New Roman"/>
          <w:sz w:val="18"/>
          <w:szCs w:val="18"/>
        </w:rPr>
        <w:t>Sympos</w:t>
      </w:r>
      <w:proofErr w:type="spellEnd"/>
      <w:r>
        <w:rPr>
          <w:rFonts w:ascii="Times New Roman" w:hAnsi="Times New Roman"/>
          <w:sz w:val="18"/>
          <w:szCs w:val="18"/>
        </w:rPr>
        <w:t>,(</w:t>
      </w:r>
      <w:proofErr w:type="spellStart"/>
      <w:r>
        <w:rPr>
          <w:rFonts w:ascii="Times New Roman" w:hAnsi="Times New Roman"/>
          <w:sz w:val="18"/>
          <w:szCs w:val="18"/>
        </w:rPr>
        <w:t>Lexington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Kentucky</w:t>
      </w:r>
      <w:proofErr w:type="spellEnd"/>
      <w:r>
        <w:rPr>
          <w:rFonts w:ascii="Times New Roman" w:hAnsi="Times New Roman"/>
          <w:sz w:val="18"/>
          <w:szCs w:val="18"/>
        </w:rPr>
        <w:t xml:space="preserve">, 1997) / M.D.A. </w:t>
      </w:r>
      <w:proofErr w:type="spellStart"/>
      <w:r>
        <w:rPr>
          <w:rFonts w:ascii="Times New Roman" w:hAnsi="Times New Roman"/>
          <w:sz w:val="18"/>
          <w:szCs w:val="18"/>
        </w:rPr>
        <w:t>Thomas</w:t>
      </w:r>
      <w:proofErr w:type="spellEnd"/>
      <w:r>
        <w:rPr>
          <w:rFonts w:ascii="Times New Roman" w:hAnsi="Times New Roman"/>
          <w:sz w:val="18"/>
          <w:szCs w:val="18"/>
        </w:rPr>
        <w:t xml:space="preserve">. – </w:t>
      </w:r>
      <w:proofErr w:type="spellStart"/>
      <w:r>
        <w:rPr>
          <w:rFonts w:ascii="Times New Roman" w:hAnsi="Times New Roman"/>
          <w:sz w:val="18"/>
          <w:szCs w:val="18"/>
        </w:rPr>
        <w:t>Lexington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Kentucky</w:t>
      </w:r>
      <w:proofErr w:type="spellEnd"/>
      <w:r>
        <w:rPr>
          <w:rFonts w:ascii="Times New Roman" w:hAnsi="Times New Roman"/>
          <w:sz w:val="18"/>
          <w:szCs w:val="18"/>
        </w:rPr>
        <w:t>, 1997. – P. 333-342.</w:t>
      </w:r>
    </w:p>
    <w:p w:rsidR="009F4077" w:rsidRDefault="009F4077" w:rsidP="009F407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Бабаев</w:t>
      </w:r>
      <w:proofErr w:type="spellEnd"/>
      <w:r>
        <w:rPr>
          <w:rFonts w:ascii="Times New Roman" w:hAnsi="Times New Roman"/>
          <w:sz w:val="18"/>
          <w:szCs w:val="18"/>
        </w:rPr>
        <w:t xml:space="preserve"> Щ. Т., Дикун А. Д., </w:t>
      </w:r>
      <w:proofErr w:type="spellStart"/>
      <w:r>
        <w:rPr>
          <w:rFonts w:ascii="Times New Roman" w:hAnsi="Times New Roman"/>
          <w:sz w:val="18"/>
          <w:szCs w:val="18"/>
        </w:rPr>
        <w:t>Сорокин</w:t>
      </w:r>
      <w:proofErr w:type="spellEnd"/>
      <w:r>
        <w:rPr>
          <w:rFonts w:ascii="Times New Roman" w:hAnsi="Times New Roman"/>
          <w:sz w:val="18"/>
          <w:szCs w:val="18"/>
        </w:rPr>
        <w:t xml:space="preserve"> Ю.В. </w:t>
      </w:r>
      <w:r>
        <w:rPr>
          <w:rFonts w:ascii="Times New Roman" w:hAnsi="Times New Roman"/>
          <w:sz w:val="18"/>
          <w:szCs w:val="18"/>
          <w:lang w:val="ru-RU"/>
        </w:rPr>
        <w:t xml:space="preserve">Физико-механические свойства цементного камня из вяжущих низкой </w:t>
      </w:r>
      <w:proofErr w:type="spellStart"/>
      <w:r>
        <w:rPr>
          <w:rFonts w:ascii="Times New Roman" w:hAnsi="Times New Roman"/>
          <w:sz w:val="18"/>
          <w:szCs w:val="18"/>
          <w:lang w:val="ru-RU"/>
        </w:rPr>
        <w:t>водопотребности</w:t>
      </w:r>
      <w:proofErr w:type="spellEnd"/>
      <w:r>
        <w:rPr>
          <w:rFonts w:ascii="Times New Roman" w:hAnsi="Times New Roman"/>
          <w:sz w:val="18"/>
          <w:szCs w:val="18"/>
          <w:lang w:val="ru-RU"/>
        </w:rPr>
        <w:t>. –  Строительные материалы, 1991 -№6. – 17-18с.</w:t>
      </w:r>
    </w:p>
    <w:p w:rsidR="009F4077" w:rsidRDefault="009F4077" w:rsidP="009F407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 xml:space="preserve">К.К. </w:t>
      </w:r>
      <w:proofErr w:type="spellStart"/>
      <w:r>
        <w:rPr>
          <w:rFonts w:ascii="Times New Roman" w:hAnsi="Times New Roman"/>
          <w:bCs/>
          <w:iCs/>
          <w:sz w:val="18"/>
          <w:szCs w:val="18"/>
        </w:rPr>
        <w:t>Пушкарьова</w:t>
      </w:r>
      <w:proofErr w:type="spellEnd"/>
      <w:r>
        <w:rPr>
          <w:rFonts w:ascii="Times New Roman" w:hAnsi="Times New Roman"/>
          <w:bCs/>
          <w:i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 xml:space="preserve">Ресурсозберігаючі мінеральні в’яжучі речовини і високоефективні композиційні матеріали на </w:t>
      </w:r>
      <w:proofErr w:type="spellStart"/>
      <w:r>
        <w:rPr>
          <w:rFonts w:ascii="Times New Roman" w:hAnsi="Times New Roman"/>
          <w:bCs/>
          <w:sz w:val="18"/>
          <w:szCs w:val="18"/>
        </w:rPr>
        <w:t>основіпаливних</w:t>
      </w:r>
      <w:proofErr w:type="spellEnd"/>
      <w:r>
        <w:rPr>
          <w:rFonts w:ascii="Times New Roman" w:hAnsi="Times New Roman"/>
          <w:bCs/>
          <w:sz w:val="18"/>
          <w:szCs w:val="18"/>
        </w:rPr>
        <w:t xml:space="preserve"> зол і шлаків. - Збірник наукових праць </w:t>
      </w:r>
      <w:proofErr w:type="spellStart"/>
      <w:r>
        <w:rPr>
          <w:rFonts w:ascii="Times New Roman" w:hAnsi="Times New Roman"/>
          <w:bCs/>
          <w:sz w:val="18"/>
          <w:szCs w:val="18"/>
        </w:rPr>
        <w:t>УкрДАЗТ</w:t>
      </w:r>
      <w:proofErr w:type="spellEnd"/>
      <w:r>
        <w:rPr>
          <w:rFonts w:ascii="Times New Roman" w:hAnsi="Times New Roman"/>
          <w:bCs/>
          <w:sz w:val="18"/>
          <w:szCs w:val="18"/>
        </w:rPr>
        <w:t>, 2013, вип. 138.- 19-26с.</w:t>
      </w:r>
    </w:p>
    <w:p w:rsidR="009F4077" w:rsidRDefault="009F4077" w:rsidP="009F407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Пушкарьова</w:t>
      </w:r>
      <w:proofErr w:type="spellEnd"/>
      <w:r>
        <w:rPr>
          <w:rFonts w:ascii="Times New Roman" w:hAnsi="Times New Roman"/>
          <w:sz w:val="18"/>
          <w:szCs w:val="18"/>
        </w:rPr>
        <w:t xml:space="preserve">, К.К. Перспективні технології утилізації відходів паливно-енергетичної промисловості та ефективність їх застосування при отриманні будівельних матеріалів з підвищеними експлуатаційними характеристиками [Текст] / К.К. </w:t>
      </w:r>
      <w:proofErr w:type="spellStart"/>
      <w:r>
        <w:rPr>
          <w:rFonts w:ascii="Times New Roman" w:hAnsi="Times New Roman"/>
          <w:sz w:val="18"/>
          <w:szCs w:val="18"/>
        </w:rPr>
        <w:t>Пушкарьова</w:t>
      </w:r>
      <w:proofErr w:type="spellEnd"/>
      <w:r>
        <w:rPr>
          <w:rFonts w:ascii="Times New Roman" w:hAnsi="Times New Roman"/>
          <w:sz w:val="18"/>
          <w:szCs w:val="18"/>
        </w:rPr>
        <w:t xml:space="preserve">, О.А. Гончар,В.В. Павлюк // </w:t>
      </w:r>
      <w:proofErr w:type="spellStart"/>
      <w:r>
        <w:rPr>
          <w:rFonts w:ascii="Times New Roman" w:hAnsi="Times New Roman"/>
          <w:sz w:val="18"/>
          <w:szCs w:val="18"/>
        </w:rPr>
        <w:t>Строительные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материалы</w:t>
      </w:r>
      <w:proofErr w:type="spellEnd"/>
      <w:r>
        <w:rPr>
          <w:rFonts w:ascii="Times New Roman" w:hAnsi="Times New Roman"/>
          <w:sz w:val="18"/>
          <w:szCs w:val="18"/>
        </w:rPr>
        <w:t xml:space="preserve"> и </w:t>
      </w:r>
      <w:proofErr w:type="spellStart"/>
      <w:r>
        <w:rPr>
          <w:rFonts w:ascii="Times New Roman" w:hAnsi="Times New Roman"/>
          <w:sz w:val="18"/>
          <w:szCs w:val="18"/>
        </w:rPr>
        <w:t>изделия</w:t>
      </w:r>
      <w:proofErr w:type="spellEnd"/>
      <w:r>
        <w:rPr>
          <w:rFonts w:ascii="Times New Roman" w:hAnsi="Times New Roman"/>
          <w:sz w:val="18"/>
          <w:szCs w:val="18"/>
        </w:rPr>
        <w:t>. – 2005. – № 4. – С. 20-23.</w:t>
      </w:r>
    </w:p>
    <w:p w:rsidR="009F4077" w:rsidRDefault="009F4077" w:rsidP="009F407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Pushkarova</w:t>
      </w:r>
      <w:proofErr w:type="spellEnd"/>
      <w:r>
        <w:rPr>
          <w:rFonts w:ascii="Times New Roman" w:hAnsi="Times New Roman"/>
          <w:sz w:val="18"/>
          <w:szCs w:val="18"/>
        </w:rPr>
        <w:t xml:space="preserve"> K.K. </w:t>
      </w:r>
      <w:proofErr w:type="spellStart"/>
      <w:r>
        <w:rPr>
          <w:rFonts w:ascii="Times New Roman" w:hAnsi="Times New Roman"/>
          <w:sz w:val="18"/>
          <w:szCs w:val="18"/>
        </w:rPr>
        <w:t>Physical</w:t>
      </w:r>
      <w:proofErr w:type="spellEnd"/>
      <w:r>
        <w:rPr>
          <w:rFonts w:ascii="Times New Roman" w:hAnsi="Times New Roman"/>
          <w:sz w:val="18"/>
          <w:szCs w:val="18"/>
        </w:rPr>
        <w:t xml:space="preserve"> - </w:t>
      </w:r>
      <w:proofErr w:type="spellStart"/>
      <w:r>
        <w:rPr>
          <w:rFonts w:ascii="Times New Roman" w:hAnsi="Times New Roman"/>
          <w:sz w:val="18"/>
          <w:szCs w:val="18"/>
        </w:rPr>
        <w:t>chemical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foundations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for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synthesis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of</w:t>
      </w:r>
      <w:proofErr w:type="spellEnd"/>
      <w:r>
        <w:rPr>
          <w:rFonts w:ascii="Times New Roman" w:hAnsi="Times New Roman"/>
          <w:sz w:val="18"/>
          <w:szCs w:val="18"/>
        </w:rPr>
        <w:t xml:space="preserve"> a </w:t>
      </w:r>
      <w:proofErr w:type="spellStart"/>
      <w:r>
        <w:rPr>
          <w:rFonts w:ascii="Times New Roman" w:hAnsi="Times New Roman"/>
          <w:sz w:val="18"/>
          <w:szCs w:val="18"/>
        </w:rPr>
        <w:t>durable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artificial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stone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based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on</w:t>
      </w:r>
      <w:proofErr w:type="spellEnd"/>
      <w:r>
        <w:rPr>
          <w:rFonts w:ascii="Times New Roman" w:hAnsi="Times New Roman"/>
          <w:sz w:val="18"/>
          <w:szCs w:val="18"/>
        </w:rPr>
        <w:t xml:space="preserve"> ash-cement-sulfate </w:t>
      </w:r>
      <w:proofErr w:type="spellStart"/>
      <w:r>
        <w:rPr>
          <w:rFonts w:ascii="Times New Roman" w:hAnsi="Times New Roman"/>
          <w:sz w:val="18"/>
          <w:szCs w:val="18"/>
        </w:rPr>
        <w:t>binding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systems</w:t>
      </w:r>
      <w:proofErr w:type="spellEnd"/>
      <w:r>
        <w:rPr>
          <w:rFonts w:ascii="Times New Roman" w:hAnsi="Times New Roman"/>
          <w:sz w:val="18"/>
          <w:szCs w:val="18"/>
        </w:rPr>
        <w:t xml:space="preserve"> / K.K. </w:t>
      </w:r>
      <w:proofErr w:type="spellStart"/>
      <w:r>
        <w:rPr>
          <w:rFonts w:ascii="Times New Roman" w:hAnsi="Times New Roman"/>
          <w:sz w:val="18"/>
          <w:szCs w:val="18"/>
        </w:rPr>
        <w:t>Pushkarova</w:t>
      </w:r>
      <w:proofErr w:type="spellEnd"/>
      <w:r>
        <w:rPr>
          <w:rFonts w:ascii="Times New Roman" w:hAnsi="Times New Roman"/>
          <w:sz w:val="18"/>
          <w:szCs w:val="18"/>
        </w:rPr>
        <w:t xml:space="preserve">, V.I. </w:t>
      </w:r>
      <w:proofErr w:type="spellStart"/>
      <w:r>
        <w:rPr>
          <w:rFonts w:ascii="Times New Roman" w:hAnsi="Times New Roman"/>
          <w:sz w:val="18"/>
          <w:szCs w:val="18"/>
        </w:rPr>
        <w:t>Gots</w:t>
      </w:r>
      <w:proofErr w:type="spellEnd"/>
      <w:r>
        <w:rPr>
          <w:rFonts w:ascii="Times New Roman" w:hAnsi="Times New Roman"/>
          <w:sz w:val="18"/>
          <w:szCs w:val="18"/>
        </w:rPr>
        <w:t xml:space="preserve">, V.V. </w:t>
      </w:r>
      <w:proofErr w:type="spellStart"/>
      <w:r>
        <w:rPr>
          <w:rFonts w:ascii="Times New Roman" w:hAnsi="Times New Roman"/>
          <w:sz w:val="18"/>
          <w:szCs w:val="18"/>
        </w:rPr>
        <w:t>Pavljuk</w:t>
      </w:r>
      <w:proofErr w:type="spellEnd"/>
      <w:r>
        <w:rPr>
          <w:rFonts w:ascii="Times New Roman" w:hAnsi="Times New Roman"/>
          <w:sz w:val="18"/>
          <w:szCs w:val="18"/>
        </w:rPr>
        <w:t xml:space="preserve"> // </w:t>
      </w:r>
      <w:proofErr w:type="spellStart"/>
      <w:r>
        <w:rPr>
          <w:rFonts w:ascii="Times New Roman" w:hAnsi="Times New Roman"/>
          <w:sz w:val="18"/>
          <w:szCs w:val="18"/>
        </w:rPr>
        <w:t>Ibausil</w:t>
      </w:r>
      <w:proofErr w:type="spellEnd"/>
      <w:r>
        <w:rPr>
          <w:rFonts w:ascii="Times New Roman" w:hAnsi="Times New Roman"/>
          <w:sz w:val="18"/>
          <w:szCs w:val="18"/>
        </w:rPr>
        <w:t xml:space="preserve">. – </w:t>
      </w:r>
      <w:proofErr w:type="spellStart"/>
      <w:r>
        <w:rPr>
          <w:rFonts w:ascii="Times New Roman" w:hAnsi="Times New Roman"/>
          <w:sz w:val="18"/>
          <w:szCs w:val="18"/>
        </w:rPr>
        <w:t>Weimar</w:t>
      </w:r>
      <w:proofErr w:type="spellEnd"/>
      <w:r>
        <w:rPr>
          <w:rFonts w:ascii="Times New Roman" w:hAnsi="Times New Roman"/>
          <w:sz w:val="18"/>
          <w:szCs w:val="18"/>
        </w:rPr>
        <w:t>, 2006. – Р. 1-0829-0836.</w:t>
      </w:r>
    </w:p>
    <w:p w:rsidR="009F4077" w:rsidRDefault="009F4077" w:rsidP="009F407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18"/>
          <w:szCs w:val="18"/>
        </w:rPr>
      </w:pPr>
      <w:proofErr w:type="spell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Дворкин</w:t>
      </w:r>
      <w:proofErr w:type="spellEnd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Л.И., </w:t>
      </w:r>
      <w:proofErr w:type="spell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Дворкин</w:t>
      </w:r>
      <w:proofErr w:type="spellEnd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О.Л., </w:t>
      </w:r>
      <w:proofErr w:type="spell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Корнейчук</w:t>
      </w:r>
      <w:proofErr w:type="spellEnd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Ю.А. </w:t>
      </w:r>
      <w:proofErr w:type="spell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Эффективные</w:t>
      </w:r>
      <w:proofErr w:type="spellEnd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цементно-зольные</w:t>
      </w:r>
      <w:proofErr w:type="spellEnd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бетоны</w:t>
      </w:r>
      <w:proofErr w:type="spellEnd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. – </w:t>
      </w:r>
      <w:proofErr w:type="spell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Ровно</w:t>
      </w:r>
      <w:proofErr w:type="spellEnd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. – 1998. – 195 с.</w:t>
      </w:r>
    </w:p>
    <w:p w:rsidR="009F4077" w:rsidRDefault="009F4077" w:rsidP="009F4077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color w:val="000000"/>
          <w:sz w:val="18"/>
          <w:szCs w:val="18"/>
        </w:rPr>
        <w:t>Пробоподготовка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микроволновых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печах: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Теория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и практика /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Под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ред. Г.М.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Кингстона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, Л.Б.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Джесси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>. - М.: Мир, 1991. - 336 с.</w:t>
      </w:r>
    </w:p>
    <w:p w:rsidR="009F4077" w:rsidRDefault="009F4077" w:rsidP="009F4077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color w:val="000000"/>
          <w:sz w:val="18"/>
          <w:szCs w:val="18"/>
        </w:rPr>
        <w:lastRenderedPageBreak/>
        <w:t>Архангельский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Ю.С.,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Девяткин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И.И.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Сверхвысокочастотные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нагревательные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установки для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интенсификации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технологических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процессов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. - Саратов: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Саратов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гос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>. ун-т, 1983. - 140 с.</w:t>
      </w:r>
    </w:p>
    <w:p w:rsidR="009F4077" w:rsidRDefault="009F4077" w:rsidP="009F4077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color w:val="000000"/>
          <w:sz w:val="18"/>
          <w:szCs w:val="18"/>
        </w:rPr>
        <w:t>Чмиленко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Ф.А.,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Бакланов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А.Н.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Интенсификация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пробоподготовки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при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определении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элементов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-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примесей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пищевых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продуктах // Журн.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аналит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химии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>. - 1999. - Т. 54 - №1. - С. 6-16.</w:t>
      </w:r>
    </w:p>
    <w:p w:rsidR="009F4077" w:rsidRDefault="009F4077" w:rsidP="009F4077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color w:val="000000"/>
          <w:sz w:val="18"/>
          <w:szCs w:val="18"/>
        </w:rPr>
        <w:t>Бердоносов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С.С.,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Бердоносова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Д.Т.,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Знаменская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И.В.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Микроволновое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излучение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химической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практике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//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Хим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.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технология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>. - 2000. - №3. - С. 2-8.</w:t>
      </w:r>
    </w:p>
    <w:p w:rsidR="009F4077" w:rsidRDefault="009F4077" w:rsidP="009F4077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Шахин</w:t>
      </w:r>
      <w:proofErr w:type="spellEnd"/>
      <w:r>
        <w:rPr>
          <w:rFonts w:ascii="Times New Roman" w:hAnsi="Times New Roman"/>
          <w:sz w:val="18"/>
          <w:szCs w:val="18"/>
        </w:rPr>
        <w:t xml:space="preserve"> И.Х., </w:t>
      </w:r>
      <w:proofErr w:type="spellStart"/>
      <w:r>
        <w:rPr>
          <w:rFonts w:ascii="Times New Roman" w:hAnsi="Times New Roman"/>
          <w:sz w:val="18"/>
          <w:szCs w:val="18"/>
        </w:rPr>
        <w:t>Шапорев</w:t>
      </w:r>
      <w:proofErr w:type="spellEnd"/>
      <w:r>
        <w:rPr>
          <w:rFonts w:ascii="Times New Roman" w:hAnsi="Times New Roman"/>
          <w:sz w:val="18"/>
          <w:szCs w:val="18"/>
        </w:rPr>
        <w:t xml:space="preserve"> В.П. </w:t>
      </w:r>
      <w:proofErr w:type="spellStart"/>
      <w:r>
        <w:rPr>
          <w:rFonts w:ascii="Times New Roman" w:hAnsi="Times New Roman"/>
          <w:sz w:val="18"/>
          <w:szCs w:val="18"/>
        </w:rPr>
        <w:t>Обработка</w:t>
      </w:r>
      <w:proofErr w:type="spellEnd"/>
      <w:r>
        <w:rPr>
          <w:rFonts w:ascii="Times New Roman" w:hAnsi="Times New Roman"/>
          <w:sz w:val="18"/>
          <w:szCs w:val="18"/>
        </w:rPr>
        <w:t xml:space="preserve"> природного </w:t>
      </w:r>
      <w:proofErr w:type="spellStart"/>
      <w:r>
        <w:rPr>
          <w:rFonts w:ascii="Times New Roman" w:hAnsi="Times New Roman"/>
          <w:sz w:val="18"/>
          <w:szCs w:val="18"/>
        </w:rPr>
        <w:t>карбоната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кальция</w:t>
      </w:r>
      <w:proofErr w:type="spellEnd"/>
      <w:r>
        <w:rPr>
          <w:rFonts w:ascii="Times New Roman" w:hAnsi="Times New Roman"/>
          <w:sz w:val="18"/>
          <w:szCs w:val="18"/>
        </w:rPr>
        <w:t xml:space="preserve"> в </w:t>
      </w:r>
      <w:proofErr w:type="spellStart"/>
      <w:r>
        <w:rPr>
          <w:rFonts w:ascii="Times New Roman" w:hAnsi="Times New Roman"/>
          <w:sz w:val="18"/>
          <w:szCs w:val="18"/>
        </w:rPr>
        <w:t>свч</w:t>
      </w:r>
      <w:proofErr w:type="spellEnd"/>
      <w:r>
        <w:rPr>
          <w:rFonts w:ascii="Times New Roman" w:hAnsi="Times New Roman"/>
          <w:sz w:val="18"/>
          <w:szCs w:val="18"/>
        </w:rPr>
        <w:t xml:space="preserve"> – </w:t>
      </w:r>
      <w:proofErr w:type="spellStart"/>
      <w:r>
        <w:rPr>
          <w:rFonts w:ascii="Times New Roman" w:hAnsi="Times New Roman"/>
          <w:sz w:val="18"/>
          <w:szCs w:val="18"/>
        </w:rPr>
        <w:t>печи</w:t>
      </w:r>
      <w:proofErr w:type="spellEnd"/>
      <w:r>
        <w:rPr>
          <w:rFonts w:ascii="Times New Roman" w:hAnsi="Times New Roman"/>
          <w:sz w:val="18"/>
          <w:szCs w:val="18"/>
        </w:rPr>
        <w:t xml:space="preserve"> при </w:t>
      </w:r>
      <w:proofErr w:type="spellStart"/>
      <w:r>
        <w:rPr>
          <w:rFonts w:ascii="Times New Roman" w:hAnsi="Times New Roman"/>
          <w:sz w:val="18"/>
          <w:szCs w:val="18"/>
        </w:rPr>
        <w:t>воздействии</w:t>
      </w:r>
      <w:proofErr w:type="spellEnd"/>
      <w:r>
        <w:rPr>
          <w:rFonts w:ascii="Times New Roman" w:hAnsi="Times New Roman"/>
          <w:sz w:val="18"/>
          <w:szCs w:val="18"/>
        </w:rPr>
        <w:t xml:space="preserve"> поля </w:t>
      </w:r>
      <w:proofErr w:type="spellStart"/>
      <w:r>
        <w:rPr>
          <w:rFonts w:ascii="Times New Roman" w:hAnsi="Times New Roman"/>
          <w:sz w:val="18"/>
          <w:szCs w:val="18"/>
        </w:rPr>
        <w:t>бегущей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электромагнитной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волны</w:t>
      </w:r>
      <w:proofErr w:type="spellEnd"/>
      <w:r>
        <w:rPr>
          <w:rFonts w:ascii="Times New Roman" w:hAnsi="Times New Roman"/>
          <w:sz w:val="18"/>
          <w:szCs w:val="18"/>
        </w:rPr>
        <w:t xml:space="preserve"> // </w:t>
      </w:r>
      <w:proofErr w:type="spellStart"/>
      <w:r>
        <w:rPr>
          <w:rFonts w:ascii="Times New Roman" w:hAnsi="Times New Roman"/>
          <w:sz w:val="18"/>
          <w:szCs w:val="18"/>
        </w:rPr>
        <w:t>Интегрированные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технологии</w:t>
      </w:r>
      <w:proofErr w:type="spellEnd"/>
      <w:r>
        <w:rPr>
          <w:rFonts w:ascii="Times New Roman" w:hAnsi="Times New Roman"/>
          <w:sz w:val="18"/>
          <w:szCs w:val="18"/>
        </w:rPr>
        <w:t xml:space="preserve"> и </w:t>
      </w:r>
      <w:proofErr w:type="spellStart"/>
      <w:r>
        <w:rPr>
          <w:rFonts w:ascii="Times New Roman" w:hAnsi="Times New Roman"/>
          <w:sz w:val="18"/>
          <w:szCs w:val="18"/>
        </w:rPr>
        <w:t>энергосбережение</w:t>
      </w:r>
      <w:proofErr w:type="spellEnd"/>
      <w:r>
        <w:rPr>
          <w:rFonts w:ascii="Times New Roman" w:hAnsi="Times New Roman"/>
          <w:sz w:val="18"/>
          <w:szCs w:val="18"/>
        </w:rPr>
        <w:t xml:space="preserve"> - 2004-№2, с. 96-106</w:t>
      </w:r>
    </w:p>
    <w:p w:rsidR="0010002A" w:rsidRDefault="0010002A"/>
    <w:sectPr w:rsidR="00100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944D1"/>
    <w:multiLevelType w:val="hybridMultilevel"/>
    <w:tmpl w:val="197ACC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077"/>
    <w:rsid w:val="0010002A"/>
    <w:rsid w:val="008A5993"/>
    <w:rsid w:val="009F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077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9F407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uiPriority w:val="99"/>
    <w:semiHidden/>
    <w:rsid w:val="009F407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F40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077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9F407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uiPriority w:val="99"/>
    <w:semiHidden/>
    <w:rsid w:val="009F407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F4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6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2349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2015-12-13T14:26:00Z</dcterms:created>
  <dcterms:modified xsi:type="dcterms:W3CDTF">2015-12-13T14:26:00Z</dcterms:modified>
</cp:coreProperties>
</file>