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9C1" w:rsidRPr="004B79C1" w:rsidRDefault="004B79C1" w:rsidP="004B79C1">
      <w:pPr>
        <w:pStyle w:val="a4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4B79C1">
        <w:rPr>
          <w:sz w:val="22"/>
          <w:szCs w:val="22"/>
        </w:rPr>
        <w:t>УДК 618.31.05</w:t>
      </w:r>
    </w:p>
    <w:p w:rsidR="008A17D7" w:rsidRPr="004B79C1" w:rsidRDefault="001576C0" w:rsidP="004B79C1">
      <w:pPr>
        <w:pStyle w:val="a4"/>
        <w:shd w:val="clear" w:color="auto" w:fill="FFFFFF"/>
        <w:spacing w:before="0" w:beforeAutospacing="0" w:after="0" w:afterAutospacing="0"/>
        <w:jc w:val="right"/>
      </w:pPr>
      <w:r>
        <w:rPr>
          <w:sz w:val="22"/>
          <w:szCs w:val="22"/>
        </w:rPr>
        <w:t>САВЧУК Т.</w:t>
      </w:r>
      <w:r w:rsidR="004B79C1" w:rsidRPr="004B79C1">
        <w:rPr>
          <w:sz w:val="22"/>
          <w:szCs w:val="22"/>
        </w:rPr>
        <w:t>О.</w:t>
      </w:r>
      <w:r w:rsidR="004B79C1" w:rsidRPr="004B79C1">
        <w:rPr>
          <w:sz w:val="22"/>
          <w:szCs w:val="22"/>
          <w:lang w:val="ru-RU"/>
        </w:rPr>
        <w:t>,</w:t>
      </w:r>
      <w:r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БРУЙ В.</w:t>
      </w:r>
      <w:bookmarkStart w:id="0" w:name="_GoBack"/>
      <w:bookmarkEnd w:id="0"/>
      <w:r w:rsidR="004B79C1" w:rsidRPr="004B79C1">
        <w:rPr>
          <w:sz w:val="22"/>
          <w:szCs w:val="22"/>
        </w:rPr>
        <w:t>С.</w:t>
      </w:r>
    </w:p>
    <w:p w:rsidR="00F06883" w:rsidRDefault="004B79C1" w:rsidP="004B79C1">
      <w:pPr>
        <w:pStyle w:val="a4"/>
        <w:shd w:val="clear" w:color="auto" w:fill="FFFFFF"/>
        <w:spacing w:before="0" w:beforeAutospacing="0" w:after="0" w:afterAutospacing="0"/>
        <w:jc w:val="right"/>
        <w:rPr>
          <w:sz w:val="22"/>
          <w:szCs w:val="22"/>
          <w:lang w:val="ru-RU"/>
        </w:rPr>
      </w:pPr>
      <w:r w:rsidRPr="004A737D">
        <w:rPr>
          <w:sz w:val="22"/>
          <w:szCs w:val="22"/>
          <w:lang w:val="ru-RU"/>
        </w:rPr>
        <w:t>ВНТУ (</w:t>
      </w:r>
      <w:r w:rsidRPr="004B79C1">
        <w:rPr>
          <w:sz w:val="22"/>
          <w:szCs w:val="22"/>
          <w:lang w:val="ru-RU"/>
        </w:rPr>
        <w:t>Україна)</w:t>
      </w:r>
    </w:p>
    <w:p w:rsidR="004B79C1" w:rsidRPr="004B79C1" w:rsidRDefault="004B79C1" w:rsidP="004B79C1">
      <w:pPr>
        <w:pStyle w:val="a4"/>
        <w:shd w:val="clear" w:color="auto" w:fill="FFFFFF"/>
        <w:spacing w:before="0" w:beforeAutospacing="0" w:after="0" w:afterAutospacing="0"/>
        <w:jc w:val="right"/>
        <w:rPr>
          <w:sz w:val="22"/>
          <w:szCs w:val="22"/>
          <w:lang w:val="ru-RU"/>
        </w:rPr>
      </w:pPr>
    </w:p>
    <w:p w:rsidR="00836289" w:rsidRDefault="00524F6A" w:rsidP="00F06883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2"/>
          <w:szCs w:val="22"/>
        </w:rPr>
      </w:pPr>
      <w:r w:rsidRPr="004B79C1">
        <w:rPr>
          <w:sz w:val="22"/>
          <w:szCs w:val="22"/>
        </w:rPr>
        <w:t>ВИКОРИСТАННЯ НЕЧІТКОГО ПІДХОДУ ДЛЯ ВИРІШЕННЯ ЗАДАЧІ</w:t>
      </w:r>
      <w:r w:rsidR="00836289" w:rsidRPr="004B79C1">
        <w:rPr>
          <w:sz w:val="22"/>
          <w:szCs w:val="22"/>
        </w:rPr>
        <w:t xml:space="preserve"> ХЕДЖУВАННЯ ВАЛЮТНИХ РИЗИКІВ</w:t>
      </w:r>
    </w:p>
    <w:p w:rsidR="00F33837" w:rsidRDefault="00F33837" w:rsidP="00F06883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2"/>
          <w:szCs w:val="22"/>
        </w:rPr>
      </w:pPr>
    </w:p>
    <w:p w:rsidR="004A737D" w:rsidRPr="00F33837" w:rsidRDefault="004A737D" w:rsidP="00F33837">
      <w:pPr>
        <w:pStyle w:val="a4"/>
        <w:shd w:val="clear" w:color="auto" w:fill="FFFFFF"/>
        <w:spacing w:before="0" w:beforeAutospacing="0" w:after="0" w:afterAutospacing="0"/>
        <w:ind w:firstLine="510"/>
        <w:jc w:val="both"/>
        <w:rPr>
          <w:i/>
          <w:sz w:val="22"/>
          <w:szCs w:val="22"/>
        </w:rPr>
      </w:pPr>
      <w:r w:rsidRPr="00F33837">
        <w:rPr>
          <w:i/>
          <w:sz w:val="22"/>
          <w:szCs w:val="22"/>
        </w:rPr>
        <w:t xml:space="preserve">В даній роботі було проведено аналіз існуючих методів </w:t>
      </w:r>
      <w:r w:rsidR="00F33837" w:rsidRPr="00F33837">
        <w:rPr>
          <w:i/>
          <w:sz w:val="22"/>
          <w:szCs w:val="22"/>
        </w:rPr>
        <w:t xml:space="preserve">розрахунку </w:t>
      </w:r>
      <w:r w:rsidR="00F33837" w:rsidRPr="00F33837">
        <w:rPr>
          <w:i/>
          <w:sz w:val="22"/>
          <w:szCs w:val="22"/>
          <w:lang w:val="en-US"/>
        </w:rPr>
        <w:t>VaR</w:t>
      </w:r>
      <w:r w:rsidR="00F33837" w:rsidRPr="00F33837">
        <w:rPr>
          <w:i/>
          <w:sz w:val="22"/>
          <w:szCs w:val="22"/>
        </w:rPr>
        <w:t>. Було розроблено нечіткий підхід для хеджування валютних ризиків.</w:t>
      </w:r>
    </w:p>
    <w:p w:rsidR="00CC5ACF" w:rsidRPr="00EA4F32" w:rsidRDefault="00CC5ACF" w:rsidP="009168C8">
      <w:pPr>
        <w:pStyle w:val="a4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204CB8" w:rsidRPr="00EA4F32" w:rsidRDefault="00524F6A" w:rsidP="00FA053C">
      <w:pPr>
        <w:pStyle w:val="a4"/>
        <w:shd w:val="clear" w:color="auto" w:fill="FFFFFF"/>
        <w:spacing w:before="0" w:beforeAutospacing="0" w:after="0" w:afterAutospacing="0"/>
        <w:ind w:firstLine="510"/>
        <w:jc w:val="both"/>
        <w:rPr>
          <w:sz w:val="22"/>
          <w:szCs w:val="22"/>
          <w:shd w:val="clear" w:color="auto" w:fill="FFFFFF"/>
          <w:lang w:val="ru-RU"/>
        </w:rPr>
      </w:pPr>
      <w:r w:rsidRPr="00EA4F32">
        <w:rPr>
          <w:sz w:val="22"/>
          <w:szCs w:val="22"/>
        </w:rPr>
        <w:t>У сучасному світі</w:t>
      </w:r>
      <w:r w:rsidR="00B40A9C" w:rsidRPr="00EA4F32">
        <w:rPr>
          <w:sz w:val="22"/>
          <w:szCs w:val="22"/>
        </w:rPr>
        <w:t xml:space="preserve"> економік</w:t>
      </w:r>
      <w:r w:rsidRPr="00EA4F32">
        <w:rPr>
          <w:sz w:val="22"/>
          <w:szCs w:val="22"/>
        </w:rPr>
        <w:t>а</w:t>
      </w:r>
      <w:r w:rsidR="00B40A9C" w:rsidRPr="00EA4F32">
        <w:rPr>
          <w:sz w:val="22"/>
          <w:szCs w:val="22"/>
        </w:rPr>
        <w:t xml:space="preserve"> характеризує</w:t>
      </w:r>
      <w:r w:rsidR="00593BBE" w:rsidRPr="00EA4F32">
        <w:rPr>
          <w:sz w:val="22"/>
          <w:szCs w:val="22"/>
        </w:rPr>
        <w:t xml:space="preserve">ться </w:t>
      </w:r>
      <w:r w:rsidRPr="00EA4F32">
        <w:rPr>
          <w:sz w:val="22"/>
          <w:szCs w:val="22"/>
        </w:rPr>
        <w:t xml:space="preserve">динамічністю геополітичної обстановки, </w:t>
      </w:r>
      <w:r w:rsidR="00593BBE" w:rsidRPr="00EA4F32">
        <w:rPr>
          <w:sz w:val="22"/>
          <w:szCs w:val="22"/>
        </w:rPr>
        <w:t xml:space="preserve">глобалізацією, </w:t>
      </w:r>
      <w:r w:rsidR="00B40A9C" w:rsidRPr="00EA4F32">
        <w:rPr>
          <w:sz w:val="22"/>
          <w:szCs w:val="22"/>
        </w:rPr>
        <w:t>нестабільністю окремих регіональних ринків, постійним розвитком та ускладненням фінансових ринків, зростанням вола</w:t>
      </w:r>
      <w:r w:rsidR="00593BBE" w:rsidRPr="00EA4F32">
        <w:rPr>
          <w:sz w:val="22"/>
          <w:szCs w:val="22"/>
        </w:rPr>
        <w:t>нтильності цін тощо</w:t>
      </w:r>
      <w:r w:rsidR="00F969D9" w:rsidRPr="00EA4F32">
        <w:rPr>
          <w:sz w:val="22"/>
          <w:szCs w:val="22"/>
        </w:rPr>
        <w:t>, що супроводжується економічними ризиками серед яких особлив</w:t>
      </w:r>
      <w:r w:rsidRPr="00EA4F32">
        <w:rPr>
          <w:sz w:val="22"/>
          <w:szCs w:val="22"/>
        </w:rPr>
        <w:t xml:space="preserve">е місце займає </w:t>
      </w:r>
      <w:r w:rsidR="00B40A9C" w:rsidRPr="00EA4F32">
        <w:rPr>
          <w:sz w:val="22"/>
          <w:szCs w:val="22"/>
        </w:rPr>
        <w:t xml:space="preserve">валютний ризик. </w:t>
      </w:r>
      <w:r w:rsidRPr="00EA4F32">
        <w:rPr>
          <w:sz w:val="22"/>
          <w:szCs w:val="22"/>
        </w:rPr>
        <w:t>В</w:t>
      </w:r>
      <w:r w:rsidR="00B40A9C" w:rsidRPr="00EA4F32">
        <w:rPr>
          <w:sz w:val="22"/>
          <w:szCs w:val="22"/>
        </w:rPr>
        <w:t>иникнення</w:t>
      </w:r>
      <w:r w:rsidRPr="00EA4F32">
        <w:rPr>
          <w:sz w:val="22"/>
          <w:szCs w:val="22"/>
        </w:rPr>
        <w:t xml:space="preserve"> такого ризику</w:t>
      </w:r>
      <w:r w:rsidR="00B40A9C" w:rsidRPr="00EA4F32">
        <w:rPr>
          <w:sz w:val="22"/>
          <w:szCs w:val="22"/>
        </w:rPr>
        <w:t xml:space="preserve"> пов'язан</w:t>
      </w:r>
      <w:r w:rsidR="00DB2738" w:rsidRPr="00EA4F32">
        <w:rPr>
          <w:sz w:val="22"/>
          <w:szCs w:val="22"/>
        </w:rPr>
        <w:t>е</w:t>
      </w:r>
      <w:r w:rsidR="00B40A9C" w:rsidRPr="00EA4F32">
        <w:rPr>
          <w:sz w:val="22"/>
          <w:szCs w:val="22"/>
        </w:rPr>
        <w:t xml:space="preserve"> з короткостроковими чи довгостроковими коливаннями курсу валют на фінансовому ринку</w:t>
      </w:r>
      <w:r w:rsidR="007041EA" w:rsidRPr="00EA4F32">
        <w:rPr>
          <w:sz w:val="22"/>
          <w:szCs w:val="22"/>
        </w:rPr>
        <w:t xml:space="preserve"> та може призвести до незапланованих збитків цих підприємств.</w:t>
      </w:r>
      <w:r w:rsidR="00F969D9" w:rsidRPr="00EA4F32">
        <w:rPr>
          <w:sz w:val="22"/>
          <w:szCs w:val="22"/>
        </w:rPr>
        <w:t xml:space="preserve"> </w:t>
      </w:r>
      <w:r w:rsidR="003777DC" w:rsidRPr="00EA4F32">
        <w:rPr>
          <w:sz w:val="22"/>
          <w:szCs w:val="22"/>
        </w:rPr>
        <w:t>У зв’язку з цим а</w:t>
      </w:r>
      <w:r w:rsidR="00DB2738" w:rsidRPr="00EA4F32">
        <w:rPr>
          <w:sz w:val="22"/>
          <w:szCs w:val="22"/>
        </w:rPr>
        <w:t>ктуальною задачею</w:t>
      </w:r>
      <w:r w:rsidR="003777DC" w:rsidRPr="00EA4F32">
        <w:rPr>
          <w:sz w:val="22"/>
          <w:szCs w:val="22"/>
        </w:rPr>
        <w:t xml:space="preserve"> є </w:t>
      </w:r>
      <w:r w:rsidR="00DB2738" w:rsidRPr="00EA4F32">
        <w:rPr>
          <w:sz w:val="22"/>
          <w:szCs w:val="22"/>
        </w:rPr>
        <w:t>організація</w:t>
      </w:r>
      <w:r w:rsidR="00B40A9C" w:rsidRPr="00EA4F32">
        <w:rPr>
          <w:sz w:val="22"/>
          <w:szCs w:val="22"/>
        </w:rPr>
        <w:t xml:space="preserve"> управління валютними ризиками</w:t>
      </w:r>
      <w:r w:rsidR="00DB2738" w:rsidRPr="00EA4F32">
        <w:rPr>
          <w:sz w:val="22"/>
          <w:szCs w:val="22"/>
        </w:rPr>
        <w:t xml:space="preserve"> в</w:t>
      </w:r>
      <w:r w:rsidR="00B40A9C" w:rsidRPr="00EA4F32">
        <w:rPr>
          <w:sz w:val="22"/>
          <w:szCs w:val="22"/>
        </w:rPr>
        <w:t xml:space="preserve"> діяльності підприємства</w:t>
      </w:r>
      <w:r w:rsidR="00DB2738" w:rsidRPr="00EA4F32">
        <w:rPr>
          <w:sz w:val="22"/>
          <w:szCs w:val="22"/>
        </w:rPr>
        <w:t xml:space="preserve"> </w:t>
      </w:r>
      <w:r w:rsidR="004F6347" w:rsidRPr="00EA4F32">
        <w:rPr>
          <w:sz w:val="22"/>
          <w:szCs w:val="22"/>
        </w:rPr>
        <w:t>за рахунок</w:t>
      </w:r>
      <w:r w:rsidR="00DB2738" w:rsidRPr="00EA4F32">
        <w:rPr>
          <w:sz w:val="22"/>
          <w:szCs w:val="22"/>
        </w:rPr>
        <w:t xml:space="preserve"> їх </w:t>
      </w:r>
      <w:r w:rsidR="008375F0" w:rsidRPr="00EA4F32">
        <w:rPr>
          <w:sz w:val="22"/>
          <w:szCs w:val="22"/>
        </w:rPr>
        <w:t>хеджування</w:t>
      </w:r>
      <w:r w:rsidR="0034076E" w:rsidRPr="00EA4F32">
        <w:rPr>
          <w:sz w:val="22"/>
          <w:szCs w:val="22"/>
        </w:rPr>
        <w:t>, що</w:t>
      </w:r>
      <w:r w:rsidR="004D1B5B" w:rsidRPr="00EA4F32">
        <w:rPr>
          <w:sz w:val="22"/>
          <w:szCs w:val="22"/>
        </w:rPr>
        <w:t xml:space="preserve"> </w:t>
      </w:r>
      <w:r w:rsidR="00B40A9C" w:rsidRPr="00EA4F32">
        <w:rPr>
          <w:sz w:val="22"/>
          <w:szCs w:val="22"/>
          <w:shd w:val="clear" w:color="auto" w:fill="FFFFFF"/>
        </w:rPr>
        <w:t>полягає у створенні позабалансової позиції</w:t>
      </w:r>
      <w:r w:rsidR="0034076E" w:rsidRPr="00EA4F32">
        <w:rPr>
          <w:sz w:val="22"/>
          <w:szCs w:val="22"/>
          <w:shd w:val="clear" w:color="auto" w:fill="FFFFFF"/>
        </w:rPr>
        <w:t xml:space="preserve"> </w:t>
      </w:r>
      <w:r w:rsidR="00B40A9C" w:rsidRPr="00EA4F32">
        <w:rPr>
          <w:sz w:val="22"/>
          <w:szCs w:val="22"/>
          <w:shd w:val="clear" w:color="auto" w:fill="FFFFFF"/>
        </w:rPr>
        <w:t>компенс</w:t>
      </w:r>
      <w:r w:rsidR="0034076E" w:rsidRPr="00EA4F32">
        <w:rPr>
          <w:sz w:val="22"/>
          <w:szCs w:val="22"/>
          <w:shd w:val="clear" w:color="auto" w:fill="FFFFFF"/>
        </w:rPr>
        <w:t>ації</w:t>
      </w:r>
      <w:r w:rsidR="00B40A9C" w:rsidRPr="00EA4F32">
        <w:rPr>
          <w:sz w:val="22"/>
          <w:szCs w:val="22"/>
          <w:shd w:val="clear" w:color="auto" w:fill="FFFFFF"/>
        </w:rPr>
        <w:t xml:space="preserve"> фінансов</w:t>
      </w:r>
      <w:r w:rsidR="0034076E" w:rsidRPr="00EA4F32">
        <w:rPr>
          <w:sz w:val="22"/>
          <w:szCs w:val="22"/>
          <w:shd w:val="clear" w:color="auto" w:fill="FFFFFF"/>
        </w:rPr>
        <w:t>их</w:t>
      </w:r>
      <w:r w:rsidR="00B40A9C" w:rsidRPr="00EA4F32">
        <w:rPr>
          <w:sz w:val="22"/>
          <w:szCs w:val="22"/>
          <w:shd w:val="clear" w:color="auto" w:fill="FFFFFF"/>
        </w:rPr>
        <w:t xml:space="preserve"> втрат за балансовою позицією в разі реалізації відсоткового ризику</w:t>
      </w:r>
      <w:r w:rsidR="00F969D9" w:rsidRPr="00EA4F32">
        <w:rPr>
          <w:sz w:val="22"/>
          <w:szCs w:val="22"/>
          <w:shd w:val="clear" w:color="auto" w:fill="FFFFFF"/>
        </w:rPr>
        <w:t>, що може бути виконано з використанням засобів штучного інтелекту, оскільки в</w:t>
      </w:r>
      <w:r w:rsidR="002732BC" w:rsidRPr="00EA4F32">
        <w:rPr>
          <w:sz w:val="22"/>
          <w:szCs w:val="22"/>
          <w:shd w:val="clear" w:color="auto" w:fill="FFFFFF"/>
        </w:rPr>
        <w:t>икористання фундаментального анал</w:t>
      </w:r>
      <w:r w:rsidR="00F969D9" w:rsidRPr="00EA4F32">
        <w:rPr>
          <w:sz w:val="22"/>
          <w:szCs w:val="22"/>
          <w:shd w:val="clear" w:color="auto" w:fill="FFFFFF"/>
        </w:rPr>
        <w:t xml:space="preserve">ізу для оцінки валютних ризиків </w:t>
      </w:r>
      <w:r w:rsidR="002732BC" w:rsidRPr="00EA4F32">
        <w:rPr>
          <w:sz w:val="22"/>
          <w:szCs w:val="22"/>
          <w:shd w:val="clear" w:color="auto" w:fill="FFFFFF"/>
        </w:rPr>
        <w:t xml:space="preserve">базується на </w:t>
      </w:r>
      <w:r w:rsidR="00F969D9" w:rsidRPr="00EA4F32">
        <w:rPr>
          <w:sz w:val="22"/>
          <w:szCs w:val="22"/>
          <w:shd w:val="clear" w:color="auto" w:fill="FFFFFF"/>
        </w:rPr>
        <w:t>суб’єктивній</w:t>
      </w:r>
      <w:r w:rsidR="002732BC" w:rsidRPr="00EA4F32">
        <w:rPr>
          <w:sz w:val="22"/>
          <w:szCs w:val="22"/>
          <w:shd w:val="clear" w:color="auto" w:fill="FFFFFF"/>
        </w:rPr>
        <w:t xml:space="preserve"> думці експерта. </w:t>
      </w:r>
      <w:r w:rsidR="0034076E" w:rsidRPr="00EA4F32">
        <w:rPr>
          <w:sz w:val="22"/>
          <w:szCs w:val="22"/>
          <w:shd w:val="clear" w:color="auto" w:fill="FFFFFF"/>
        </w:rPr>
        <w:t xml:space="preserve"> </w:t>
      </w:r>
      <w:r w:rsidR="00F969D9" w:rsidRPr="00EA4F32">
        <w:rPr>
          <w:sz w:val="22"/>
          <w:szCs w:val="22"/>
          <w:shd w:val="clear" w:color="auto" w:fill="FFFFFF"/>
        </w:rPr>
        <w:t xml:space="preserve">Аналіз </w:t>
      </w:r>
      <w:r w:rsidR="00204CB8" w:rsidRPr="00EA4F32">
        <w:rPr>
          <w:sz w:val="22"/>
          <w:szCs w:val="22"/>
          <w:shd w:val="clear" w:color="auto" w:fill="FFFFFF"/>
        </w:rPr>
        <w:t xml:space="preserve">методів оцінки валютних ризиків </w:t>
      </w:r>
      <w:r w:rsidR="00F969D9" w:rsidRPr="00EA4F32">
        <w:rPr>
          <w:sz w:val="22"/>
          <w:szCs w:val="22"/>
          <w:shd w:val="clear" w:color="auto" w:fill="FFFFFF"/>
        </w:rPr>
        <w:t>доцільно проводити з використанням методу</w:t>
      </w:r>
      <w:r w:rsidR="000C33D0" w:rsidRPr="00EA4F32">
        <w:rPr>
          <w:sz w:val="22"/>
          <w:szCs w:val="22"/>
          <w:shd w:val="clear" w:color="auto" w:fill="FFFFFF"/>
        </w:rPr>
        <w:t>, який</w:t>
      </w:r>
      <w:r w:rsidR="0034076E" w:rsidRPr="00EA4F32">
        <w:rPr>
          <w:sz w:val="22"/>
          <w:szCs w:val="22"/>
          <w:shd w:val="clear" w:color="auto" w:fill="FFFFFF"/>
        </w:rPr>
        <w:t xml:space="preserve"> базується на вартісній мірі ризику </w:t>
      </w:r>
      <w:r w:rsidR="00204CB8" w:rsidRPr="00EA4F32">
        <w:rPr>
          <w:sz w:val="22"/>
          <w:szCs w:val="22"/>
          <w:shd w:val="clear" w:color="auto" w:fill="FFFFFF"/>
        </w:rPr>
        <w:t>VaR</w:t>
      </w:r>
      <w:r w:rsidR="009168C8" w:rsidRPr="00EA4F32">
        <w:rPr>
          <w:sz w:val="22"/>
          <w:szCs w:val="22"/>
          <w:shd w:val="clear" w:color="auto" w:fill="FFFFFF"/>
        </w:rPr>
        <w:t>.</w:t>
      </w:r>
      <w:r w:rsidR="008866C3" w:rsidRPr="00EA4F32">
        <w:rPr>
          <w:sz w:val="22"/>
          <w:szCs w:val="22"/>
          <w:shd w:val="clear" w:color="auto" w:fill="FFFFFF"/>
        </w:rPr>
        <w:t xml:space="preserve"> Аналіз існуючих методів розрахунку </w:t>
      </w:r>
      <w:r w:rsidR="008866C3" w:rsidRPr="00EA4F32">
        <w:rPr>
          <w:sz w:val="22"/>
          <w:szCs w:val="22"/>
          <w:shd w:val="clear" w:color="auto" w:fill="FFFFFF"/>
          <w:lang w:val="en-US"/>
        </w:rPr>
        <w:t>VaR</w:t>
      </w:r>
      <w:r w:rsidR="008866C3" w:rsidRPr="00EA4F32">
        <w:rPr>
          <w:sz w:val="22"/>
          <w:szCs w:val="22"/>
          <w:shd w:val="clear" w:color="auto" w:fill="FFFFFF"/>
          <w:lang w:val="ru-RU"/>
        </w:rPr>
        <w:t xml:space="preserve"> </w:t>
      </w:r>
      <w:r w:rsidR="008866C3" w:rsidRPr="00EA4F32">
        <w:rPr>
          <w:sz w:val="22"/>
          <w:szCs w:val="22"/>
          <w:shd w:val="clear" w:color="auto" w:fill="FFFFFF"/>
        </w:rPr>
        <w:t>наведений нижче</w:t>
      </w:r>
      <w:r w:rsidR="008866C3" w:rsidRPr="00EA4F32">
        <w:rPr>
          <w:sz w:val="22"/>
          <w:szCs w:val="22"/>
          <w:shd w:val="clear" w:color="auto" w:fill="FFFFFF"/>
          <w:lang w:val="ru-RU"/>
        </w:rPr>
        <w:t>.</w:t>
      </w:r>
    </w:p>
    <w:p w:rsidR="008375F0" w:rsidRPr="00EA4F32" w:rsidRDefault="00A04086" w:rsidP="00FA053C">
      <w:pPr>
        <w:spacing w:after="0" w:line="240" w:lineRule="auto"/>
        <w:ind w:firstLine="510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EA4F32">
        <w:rPr>
          <w:rFonts w:ascii="Times New Roman" w:hAnsi="Times New Roman" w:cs="Times New Roman"/>
          <w:bCs/>
          <w:shd w:val="clear" w:color="auto" w:fill="FFFFFF"/>
        </w:rPr>
        <w:t>Метод історичного моделювання</w:t>
      </w:r>
      <w:r w:rsidR="00AB1525" w:rsidRPr="00EA4F32">
        <w:rPr>
          <w:rFonts w:ascii="Times New Roman" w:hAnsi="Times New Roman" w:cs="Times New Roman"/>
          <w:bCs/>
          <w:shd w:val="clear" w:color="auto" w:fill="FFFFFF"/>
        </w:rPr>
        <w:t>:</w:t>
      </w:r>
    </w:p>
    <w:p w:rsidR="009168C8" w:rsidRPr="00EA4F32" w:rsidRDefault="009168C8" w:rsidP="00FA053C">
      <w:pPr>
        <w:spacing w:after="0" w:line="240" w:lineRule="auto"/>
        <w:ind w:firstLine="510"/>
        <w:jc w:val="both"/>
        <w:rPr>
          <w:rFonts w:ascii="Times New Roman" w:hAnsi="Times New Roman" w:cs="Times New Roman"/>
          <w:shd w:val="clear" w:color="auto" w:fill="FFFFFF"/>
        </w:rPr>
      </w:pPr>
      <w:r w:rsidRPr="00EA4F32">
        <w:rPr>
          <w:rFonts w:ascii="Times New Roman" w:hAnsi="Times New Roman" w:cs="Times New Roman"/>
          <w:shd w:val="clear" w:color="auto" w:fill="FFFFFF"/>
        </w:rPr>
        <w:t>1) некоректність результатів</w:t>
      </w:r>
      <w:r w:rsidRPr="00EA4F32">
        <w:rPr>
          <w:rFonts w:ascii="Times New Roman" w:hAnsi="Times New Roman" w:cs="Times New Roman"/>
          <w:shd w:val="clear" w:color="auto" w:fill="FFFFFF"/>
          <w:lang w:val="ru-RU"/>
        </w:rPr>
        <w:t>;</w:t>
      </w:r>
    </w:p>
    <w:p w:rsidR="009168C8" w:rsidRPr="00EA4F32" w:rsidRDefault="009168C8" w:rsidP="00FA053C">
      <w:pPr>
        <w:spacing w:after="0" w:line="240" w:lineRule="auto"/>
        <w:ind w:firstLine="510"/>
        <w:jc w:val="both"/>
        <w:rPr>
          <w:rFonts w:ascii="Times New Roman" w:hAnsi="Times New Roman" w:cs="Times New Roman"/>
          <w:shd w:val="clear" w:color="auto" w:fill="FFFFFF"/>
        </w:rPr>
      </w:pPr>
      <w:r w:rsidRPr="00EA4F32">
        <w:rPr>
          <w:rFonts w:ascii="Times New Roman" w:hAnsi="Times New Roman" w:cs="Times New Roman"/>
          <w:shd w:val="clear" w:color="auto" w:fill="FFFFFF"/>
        </w:rPr>
        <w:t>2) неможливість використання прогнозних значень вола</w:t>
      </w:r>
      <w:r w:rsidR="006A7C81" w:rsidRPr="00EA4F32">
        <w:rPr>
          <w:rFonts w:ascii="Times New Roman" w:hAnsi="Times New Roman" w:cs="Times New Roman"/>
          <w:shd w:val="clear" w:color="auto" w:fill="FFFFFF"/>
        </w:rPr>
        <w:t>н</w:t>
      </w:r>
      <w:r w:rsidRPr="00EA4F32">
        <w:rPr>
          <w:rFonts w:ascii="Times New Roman" w:hAnsi="Times New Roman" w:cs="Times New Roman"/>
          <w:shd w:val="clear" w:color="auto" w:fill="FFFFFF"/>
        </w:rPr>
        <w:t xml:space="preserve">тильностей та кореляцій; </w:t>
      </w:r>
    </w:p>
    <w:p w:rsidR="00A04086" w:rsidRPr="00EA4F32" w:rsidRDefault="00A04086" w:rsidP="00FA053C">
      <w:pPr>
        <w:spacing w:after="0" w:line="240" w:lineRule="auto"/>
        <w:ind w:firstLine="510"/>
        <w:jc w:val="both"/>
        <w:rPr>
          <w:rFonts w:ascii="Times New Roman" w:hAnsi="Times New Roman" w:cs="Times New Roman"/>
          <w:shd w:val="clear" w:color="auto" w:fill="FFFFFF"/>
        </w:rPr>
      </w:pPr>
      <w:r w:rsidRPr="00EA4F32">
        <w:rPr>
          <w:rFonts w:ascii="Times New Roman" w:hAnsi="Times New Roman" w:cs="Times New Roman"/>
          <w:shd w:val="clear" w:color="auto" w:fill="FFFFFF"/>
        </w:rPr>
        <w:t>3) неможливість</w:t>
      </w:r>
      <w:r w:rsidR="009168C8" w:rsidRPr="00EA4F32">
        <w:rPr>
          <w:rFonts w:ascii="Times New Roman" w:hAnsi="Times New Roman" w:cs="Times New Roman"/>
          <w:shd w:val="clear" w:color="auto" w:fill="FFFFFF"/>
        </w:rPr>
        <w:t xml:space="preserve"> застосу</w:t>
      </w:r>
      <w:r w:rsidR="00004F0D" w:rsidRPr="00EA4F32">
        <w:rPr>
          <w:rFonts w:ascii="Times New Roman" w:hAnsi="Times New Roman" w:cs="Times New Roman"/>
          <w:shd w:val="clear" w:color="auto" w:fill="FFFFFF"/>
        </w:rPr>
        <w:t>вання при значних коли</w:t>
      </w:r>
      <w:r w:rsidR="009168C8" w:rsidRPr="00EA4F32">
        <w:rPr>
          <w:rFonts w:ascii="Times New Roman" w:hAnsi="Times New Roman" w:cs="Times New Roman"/>
          <w:shd w:val="clear" w:color="auto" w:fill="FFFFFF"/>
        </w:rPr>
        <w:t>ваннях значень відповід</w:t>
      </w:r>
      <w:r w:rsidRPr="00EA4F32">
        <w:rPr>
          <w:rFonts w:ascii="Times New Roman" w:hAnsi="Times New Roman" w:cs="Times New Roman"/>
          <w:shd w:val="clear" w:color="auto" w:fill="FFFFFF"/>
        </w:rPr>
        <w:t>ного показника на ринку.</w:t>
      </w:r>
    </w:p>
    <w:p w:rsidR="00A04086" w:rsidRPr="00EA4F32" w:rsidRDefault="006A7C81" w:rsidP="00FA053C">
      <w:pPr>
        <w:spacing w:after="0" w:line="240" w:lineRule="auto"/>
        <w:ind w:firstLine="510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EA4F32">
        <w:rPr>
          <w:rFonts w:ascii="Times New Roman" w:hAnsi="Times New Roman" w:cs="Times New Roman"/>
          <w:bCs/>
          <w:shd w:val="clear" w:color="auto" w:fill="FFFFFF"/>
        </w:rPr>
        <w:t>Метод варі</w:t>
      </w:r>
      <w:r w:rsidR="00A04086" w:rsidRPr="00EA4F32">
        <w:rPr>
          <w:rFonts w:ascii="Times New Roman" w:hAnsi="Times New Roman" w:cs="Times New Roman"/>
          <w:bCs/>
          <w:shd w:val="clear" w:color="auto" w:fill="FFFFFF"/>
        </w:rPr>
        <w:t>аційно-коваріаціоної моделі</w:t>
      </w:r>
      <w:r w:rsidR="00AB1525" w:rsidRPr="00EA4F32">
        <w:rPr>
          <w:rFonts w:ascii="Times New Roman" w:hAnsi="Times New Roman" w:cs="Times New Roman"/>
          <w:bCs/>
          <w:shd w:val="clear" w:color="auto" w:fill="FFFFFF"/>
        </w:rPr>
        <w:t>:</w:t>
      </w:r>
    </w:p>
    <w:p w:rsidR="009168C8" w:rsidRPr="00EA4F32" w:rsidRDefault="009168C8" w:rsidP="00FA053C">
      <w:pPr>
        <w:spacing w:after="0" w:line="240" w:lineRule="auto"/>
        <w:ind w:right="-1" w:firstLine="510"/>
        <w:jc w:val="both"/>
        <w:rPr>
          <w:rFonts w:ascii="Times New Roman" w:hAnsi="Times New Roman" w:cs="Times New Roman"/>
          <w:shd w:val="clear" w:color="auto" w:fill="FFFFFF"/>
        </w:rPr>
      </w:pPr>
      <w:r w:rsidRPr="00EA4F32">
        <w:rPr>
          <w:rFonts w:ascii="Times New Roman" w:hAnsi="Times New Roman" w:cs="Times New Roman"/>
          <w:shd w:val="clear" w:color="auto" w:fill="FFFFFF"/>
        </w:rPr>
        <w:t>1) неможливість використання інших розподілів, крім нормального;</w:t>
      </w:r>
    </w:p>
    <w:p w:rsidR="009168C8" w:rsidRPr="00EA4F32" w:rsidRDefault="009168C8" w:rsidP="00FA053C">
      <w:pPr>
        <w:spacing w:after="0" w:line="240" w:lineRule="auto"/>
        <w:ind w:right="-1" w:firstLine="510"/>
        <w:jc w:val="both"/>
        <w:rPr>
          <w:rFonts w:ascii="Times New Roman" w:hAnsi="Times New Roman" w:cs="Times New Roman"/>
          <w:shd w:val="clear" w:color="auto" w:fill="FFFFFF"/>
        </w:rPr>
      </w:pPr>
      <w:r w:rsidRPr="00EA4F32">
        <w:rPr>
          <w:rFonts w:ascii="Times New Roman" w:hAnsi="Times New Roman" w:cs="Times New Roman"/>
          <w:shd w:val="clear" w:color="auto" w:fill="FFFFFF"/>
        </w:rPr>
        <w:t>2) неможливість коректного врахування ризиків нелінійних інструментів;</w:t>
      </w:r>
    </w:p>
    <w:p w:rsidR="009168C8" w:rsidRPr="00EA4F32" w:rsidRDefault="009168C8" w:rsidP="00FA053C">
      <w:pPr>
        <w:spacing w:after="0" w:line="240" w:lineRule="auto"/>
        <w:ind w:firstLine="510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EA4F32">
        <w:rPr>
          <w:rFonts w:ascii="Times New Roman" w:hAnsi="Times New Roman" w:cs="Times New Roman"/>
          <w:shd w:val="clear" w:color="auto" w:fill="FFFFFF"/>
        </w:rPr>
        <w:t>3) ймовірність значних помилок в моделях;</w:t>
      </w:r>
    </w:p>
    <w:p w:rsidR="00004F0D" w:rsidRPr="00EA4F32" w:rsidRDefault="00004F0D" w:rsidP="00FA053C">
      <w:pPr>
        <w:spacing w:after="0" w:line="240" w:lineRule="auto"/>
        <w:ind w:firstLine="510"/>
        <w:jc w:val="both"/>
        <w:rPr>
          <w:rFonts w:ascii="Times New Roman" w:hAnsi="Times New Roman" w:cs="Times New Roman"/>
          <w:shd w:val="clear" w:color="auto" w:fill="FFFFFF"/>
        </w:rPr>
      </w:pPr>
      <w:r w:rsidRPr="00EA4F32">
        <w:rPr>
          <w:rFonts w:ascii="Times New Roman" w:hAnsi="Times New Roman" w:cs="Times New Roman"/>
          <w:shd w:val="clear" w:color="auto" w:fill="FFFFFF"/>
        </w:rPr>
        <w:t>4) складність для розу</w:t>
      </w:r>
      <w:r w:rsidR="009168C8" w:rsidRPr="00EA4F32">
        <w:rPr>
          <w:rFonts w:ascii="Times New Roman" w:hAnsi="Times New Roman" w:cs="Times New Roman"/>
          <w:shd w:val="clear" w:color="auto" w:fill="FFFFFF"/>
        </w:rPr>
        <w:t>міння топ-</w:t>
      </w:r>
      <w:r w:rsidRPr="00EA4F32">
        <w:rPr>
          <w:rFonts w:ascii="Times New Roman" w:hAnsi="Times New Roman" w:cs="Times New Roman"/>
          <w:shd w:val="clear" w:color="auto" w:fill="FFFFFF"/>
        </w:rPr>
        <w:t>менеджментом.</w:t>
      </w:r>
    </w:p>
    <w:p w:rsidR="00004F0D" w:rsidRPr="00EA4F32" w:rsidRDefault="00004F0D" w:rsidP="00FA053C">
      <w:pPr>
        <w:spacing w:after="0" w:line="240" w:lineRule="auto"/>
        <w:ind w:firstLine="510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EA4F32">
        <w:rPr>
          <w:rFonts w:ascii="Times New Roman" w:hAnsi="Times New Roman" w:cs="Times New Roman"/>
          <w:bCs/>
          <w:shd w:val="clear" w:color="auto" w:fill="FFFFFF"/>
        </w:rPr>
        <w:t>Метод імітаційного моделювання</w:t>
      </w:r>
      <w:r w:rsidR="00AB1525" w:rsidRPr="00EA4F32">
        <w:rPr>
          <w:rFonts w:ascii="Times New Roman" w:hAnsi="Times New Roman" w:cs="Times New Roman"/>
          <w:bCs/>
          <w:shd w:val="clear" w:color="auto" w:fill="FFFFFF"/>
        </w:rPr>
        <w:t>:</w:t>
      </w:r>
    </w:p>
    <w:p w:rsidR="009168C8" w:rsidRPr="00EA4F32" w:rsidRDefault="009168C8" w:rsidP="00FA053C">
      <w:pPr>
        <w:spacing w:after="0" w:line="240" w:lineRule="auto"/>
        <w:ind w:firstLine="510"/>
        <w:jc w:val="both"/>
        <w:rPr>
          <w:rFonts w:ascii="Times New Roman" w:hAnsi="Times New Roman" w:cs="Times New Roman"/>
          <w:shd w:val="clear" w:color="auto" w:fill="FFFFFF"/>
        </w:rPr>
      </w:pPr>
      <w:r w:rsidRPr="00EA4F32">
        <w:rPr>
          <w:rFonts w:ascii="Times New Roman" w:hAnsi="Times New Roman" w:cs="Times New Roman"/>
          <w:shd w:val="clear" w:color="auto" w:fill="FFFFFF"/>
        </w:rPr>
        <w:t>1) складність реалізації;</w:t>
      </w:r>
    </w:p>
    <w:p w:rsidR="009168C8" w:rsidRPr="00EA4F32" w:rsidRDefault="009168C8" w:rsidP="00FA053C">
      <w:pPr>
        <w:spacing w:after="0" w:line="240" w:lineRule="auto"/>
        <w:ind w:firstLine="510"/>
        <w:jc w:val="both"/>
        <w:rPr>
          <w:rFonts w:ascii="Times New Roman" w:hAnsi="Times New Roman" w:cs="Times New Roman"/>
          <w:shd w:val="clear" w:color="auto" w:fill="FFFFFF"/>
        </w:rPr>
      </w:pPr>
      <w:r w:rsidRPr="00EA4F32">
        <w:rPr>
          <w:rFonts w:ascii="Times New Roman" w:hAnsi="Times New Roman" w:cs="Times New Roman"/>
          <w:shd w:val="clear" w:color="auto" w:fill="FFFFFF"/>
        </w:rPr>
        <w:t>2) вимагає потужних обчислювальних ресурсів;</w:t>
      </w:r>
    </w:p>
    <w:p w:rsidR="009168C8" w:rsidRPr="00EA4F32" w:rsidRDefault="009168C8" w:rsidP="00FA053C">
      <w:pPr>
        <w:spacing w:after="0" w:line="240" w:lineRule="auto"/>
        <w:ind w:firstLine="510"/>
        <w:jc w:val="both"/>
        <w:rPr>
          <w:rFonts w:ascii="Times New Roman" w:hAnsi="Times New Roman" w:cs="Times New Roman"/>
          <w:shd w:val="clear" w:color="auto" w:fill="FFFFFF"/>
        </w:rPr>
      </w:pPr>
      <w:r w:rsidRPr="00EA4F32">
        <w:rPr>
          <w:rFonts w:ascii="Times New Roman" w:hAnsi="Times New Roman" w:cs="Times New Roman"/>
          <w:shd w:val="clear" w:color="auto" w:fill="FFFFFF"/>
        </w:rPr>
        <w:t>3) близькість інших методів;</w:t>
      </w:r>
    </w:p>
    <w:p w:rsidR="00004F0D" w:rsidRPr="00EA4F32" w:rsidRDefault="00004F0D" w:rsidP="00FA053C">
      <w:pPr>
        <w:spacing w:after="0" w:line="240" w:lineRule="auto"/>
        <w:ind w:firstLine="510"/>
        <w:jc w:val="both"/>
        <w:rPr>
          <w:rFonts w:ascii="Times New Roman" w:hAnsi="Times New Roman" w:cs="Times New Roman"/>
          <w:shd w:val="clear" w:color="auto" w:fill="FFFFFF"/>
        </w:rPr>
      </w:pPr>
      <w:r w:rsidRPr="00EA4F32">
        <w:rPr>
          <w:rFonts w:ascii="Times New Roman" w:hAnsi="Times New Roman" w:cs="Times New Roman"/>
          <w:shd w:val="clear" w:color="auto" w:fill="FFFFFF"/>
        </w:rPr>
        <w:t>4) ймовірність  знач-них помилок в моделях</w:t>
      </w:r>
      <w:r w:rsidR="009168C8" w:rsidRPr="00EA4F32">
        <w:rPr>
          <w:rFonts w:ascii="Times New Roman" w:hAnsi="Times New Roman" w:cs="Times New Roman"/>
          <w:shd w:val="clear" w:color="auto" w:fill="FFFFFF"/>
        </w:rPr>
        <w:t>.</w:t>
      </w:r>
    </w:p>
    <w:p w:rsidR="009168C8" w:rsidRPr="00EA4F32" w:rsidRDefault="009168C8" w:rsidP="00FA053C">
      <w:pPr>
        <w:pStyle w:val="a4"/>
        <w:shd w:val="clear" w:color="auto" w:fill="FFFFFF"/>
        <w:spacing w:before="0" w:beforeAutospacing="0" w:after="0" w:afterAutospacing="0"/>
        <w:ind w:firstLine="510"/>
        <w:jc w:val="both"/>
        <w:rPr>
          <w:sz w:val="22"/>
          <w:szCs w:val="22"/>
          <w:shd w:val="clear" w:color="auto" w:fill="FFFFFF"/>
        </w:rPr>
      </w:pPr>
      <w:r w:rsidRPr="00EA4F32">
        <w:rPr>
          <w:sz w:val="22"/>
          <w:szCs w:val="22"/>
          <w:shd w:val="clear" w:color="auto" w:fill="FFFFFF"/>
        </w:rPr>
        <w:t xml:space="preserve">Проаналізувавши існуючі методи оцінки </w:t>
      </w:r>
      <w:r w:rsidRPr="00EA4F32">
        <w:rPr>
          <w:sz w:val="22"/>
          <w:szCs w:val="22"/>
          <w:shd w:val="clear" w:color="auto" w:fill="FFFFFF"/>
          <w:lang w:val="en-US"/>
        </w:rPr>
        <w:t>VaR</w:t>
      </w:r>
      <w:r w:rsidRPr="00EA4F32">
        <w:rPr>
          <w:sz w:val="22"/>
          <w:szCs w:val="22"/>
          <w:shd w:val="clear" w:color="auto" w:fill="FFFFFF"/>
        </w:rPr>
        <w:t xml:space="preserve"> може бути взятий за основу в алгоритмі інтелектуального хеджування валютних ризиків.</w:t>
      </w:r>
    </w:p>
    <w:p w:rsidR="00836289" w:rsidRPr="00EA4F32" w:rsidRDefault="000C33D0" w:rsidP="00FA053C">
      <w:pPr>
        <w:spacing w:after="0" w:line="240" w:lineRule="auto"/>
        <w:ind w:firstLine="510"/>
        <w:jc w:val="both"/>
        <w:rPr>
          <w:rFonts w:ascii="Times New Roman" w:hAnsi="Times New Roman" w:cs="Times New Roman"/>
          <w:shd w:val="clear" w:color="auto" w:fill="FFFFFF"/>
        </w:rPr>
      </w:pPr>
      <w:r w:rsidRPr="00EA4F32">
        <w:rPr>
          <w:rFonts w:ascii="Times New Roman" w:hAnsi="Times New Roman" w:cs="Times New Roman"/>
          <w:shd w:val="clear" w:color="auto" w:fill="FFFFFF"/>
        </w:rPr>
        <w:t xml:space="preserve">Отже, </w:t>
      </w:r>
      <w:r w:rsidR="009168C8" w:rsidRPr="00EA4F32">
        <w:rPr>
          <w:rFonts w:ascii="Times New Roman" w:hAnsi="Times New Roman" w:cs="Times New Roman"/>
          <w:shd w:val="clear" w:color="auto" w:fill="FFFFFF"/>
        </w:rPr>
        <w:t xml:space="preserve">задачу хеджування валютних ризиків можна </w:t>
      </w:r>
      <w:r w:rsidR="00AB1525" w:rsidRPr="00EA4F32">
        <w:rPr>
          <w:rFonts w:ascii="Times New Roman" w:hAnsi="Times New Roman" w:cs="Times New Roman"/>
          <w:shd w:val="clear" w:color="auto" w:fill="FFFFFF"/>
        </w:rPr>
        <w:t>вирішити</w:t>
      </w:r>
      <w:r w:rsidR="009168C8" w:rsidRPr="00EA4F32">
        <w:rPr>
          <w:rFonts w:ascii="Times New Roman" w:hAnsi="Times New Roman" w:cs="Times New Roman"/>
          <w:shd w:val="clear" w:color="auto" w:fill="FFFFFF"/>
        </w:rPr>
        <w:t xml:space="preserve"> </w:t>
      </w:r>
      <w:r w:rsidR="00AB1525" w:rsidRPr="00EA4F32">
        <w:rPr>
          <w:rFonts w:ascii="Times New Roman" w:hAnsi="Times New Roman" w:cs="Times New Roman"/>
          <w:shd w:val="clear" w:color="auto" w:fill="FFFFFF"/>
        </w:rPr>
        <w:t>за допомогою нечіткого підходу який</w:t>
      </w:r>
      <w:r w:rsidR="00974587" w:rsidRPr="00EA4F32">
        <w:rPr>
          <w:rFonts w:ascii="Times New Roman" w:hAnsi="Times New Roman" w:cs="Times New Roman"/>
          <w:shd w:val="clear" w:color="auto" w:fill="FFFFFF"/>
        </w:rPr>
        <w:t>, включатиме так</w:t>
      </w:r>
      <w:r w:rsidR="00CC5ACF" w:rsidRPr="00EA4F32">
        <w:rPr>
          <w:rFonts w:ascii="Times New Roman" w:hAnsi="Times New Roman" w:cs="Times New Roman"/>
          <w:shd w:val="clear" w:color="auto" w:fill="FFFFFF"/>
        </w:rPr>
        <w:t xml:space="preserve">і основні </w:t>
      </w:r>
      <w:r w:rsidR="00836289" w:rsidRPr="00EA4F32">
        <w:rPr>
          <w:rFonts w:ascii="Times New Roman" w:hAnsi="Times New Roman" w:cs="Times New Roman"/>
          <w:shd w:val="clear" w:color="auto" w:fill="FFFFFF"/>
        </w:rPr>
        <w:t>кроки:</w:t>
      </w:r>
    </w:p>
    <w:p w:rsidR="005817A1" w:rsidRPr="00EA4F32" w:rsidRDefault="00836289" w:rsidP="00FA053C">
      <w:pPr>
        <w:spacing w:after="0" w:line="240" w:lineRule="auto"/>
        <w:ind w:firstLine="510"/>
        <w:jc w:val="both"/>
        <w:rPr>
          <w:rFonts w:ascii="Times New Roman" w:hAnsi="Times New Roman" w:cs="Times New Roman"/>
          <w:shd w:val="clear" w:color="auto" w:fill="FFFFFF"/>
        </w:rPr>
      </w:pPr>
      <w:r w:rsidRPr="00EA4F32">
        <w:rPr>
          <w:rFonts w:ascii="Times New Roman" w:hAnsi="Times New Roman" w:cs="Times New Roman"/>
          <w:shd w:val="clear" w:color="auto" w:fill="FFFFFF"/>
        </w:rPr>
        <w:t>1. П</w:t>
      </w:r>
      <w:r w:rsidR="005817A1" w:rsidRPr="00EA4F32">
        <w:rPr>
          <w:rFonts w:ascii="Times New Roman" w:hAnsi="Times New Roman" w:cs="Times New Roman"/>
          <w:shd w:val="clear" w:color="auto" w:fill="FFFFFF"/>
        </w:rPr>
        <w:t>рогнозування</w:t>
      </w:r>
      <w:r w:rsidRPr="00EA4F32">
        <w:rPr>
          <w:rFonts w:ascii="Times New Roman" w:hAnsi="Times New Roman" w:cs="Times New Roman"/>
          <w:shd w:val="clear" w:color="auto" w:fill="FFFFFF"/>
        </w:rPr>
        <w:t xml:space="preserve"> майбутнього валютного курсу засобами нейронної мережі</w:t>
      </w:r>
      <w:r w:rsidR="005817A1" w:rsidRPr="00EA4F32">
        <w:rPr>
          <w:rFonts w:ascii="Times New Roman" w:hAnsi="Times New Roman" w:cs="Times New Roman"/>
          <w:shd w:val="clear" w:color="auto" w:fill="FFFFFF"/>
        </w:rPr>
        <w:t>.</w:t>
      </w:r>
    </w:p>
    <w:p w:rsidR="00C16EA8" w:rsidRPr="00EA4F32" w:rsidRDefault="00836289" w:rsidP="00FA053C">
      <w:pPr>
        <w:spacing w:after="0" w:line="240" w:lineRule="auto"/>
        <w:ind w:firstLine="510"/>
        <w:jc w:val="both"/>
        <w:rPr>
          <w:rFonts w:ascii="Times New Roman" w:hAnsi="Times New Roman" w:cs="Times New Roman"/>
          <w:shd w:val="clear" w:color="auto" w:fill="FFFFFF"/>
        </w:rPr>
      </w:pPr>
      <w:r w:rsidRPr="00EA4F32">
        <w:rPr>
          <w:rFonts w:ascii="Times New Roman" w:hAnsi="Times New Roman" w:cs="Times New Roman"/>
          <w:shd w:val="clear" w:color="auto" w:fill="FFFFFF"/>
        </w:rPr>
        <w:t xml:space="preserve">2. </w:t>
      </w:r>
      <w:r w:rsidR="00C16EA8" w:rsidRPr="00EA4F32">
        <w:rPr>
          <w:rFonts w:ascii="Times New Roman" w:hAnsi="Times New Roman" w:cs="Times New Roman"/>
          <w:shd w:val="clear" w:color="auto" w:fill="FFFFFF"/>
        </w:rPr>
        <w:t xml:space="preserve"> Виявлення закономірностей зміни валютних курсів та а</w:t>
      </w:r>
      <w:r w:rsidR="005817A1" w:rsidRPr="00EA4F32">
        <w:rPr>
          <w:rFonts w:ascii="Times New Roman" w:hAnsi="Times New Roman" w:cs="Times New Roman"/>
          <w:shd w:val="clear" w:color="auto" w:fill="FFFFFF"/>
        </w:rPr>
        <w:t>наліз результатів</w:t>
      </w:r>
      <w:r w:rsidR="00C16EA8" w:rsidRPr="00EA4F32">
        <w:rPr>
          <w:rFonts w:ascii="Times New Roman" w:hAnsi="Times New Roman" w:cs="Times New Roman"/>
          <w:shd w:val="clear" w:color="auto" w:fill="FFFFFF"/>
        </w:rPr>
        <w:t xml:space="preserve"> прогнозування валютних ризиків.</w:t>
      </w:r>
    </w:p>
    <w:p w:rsidR="00CC5ACF" w:rsidRPr="00EA4F32" w:rsidRDefault="005817A1" w:rsidP="00FA053C">
      <w:pPr>
        <w:spacing w:after="0" w:line="240" w:lineRule="auto"/>
        <w:ind w:firstLine="510"/>
        <w:jc w:val="both"/>
        <w:rPr>
          <w:rFonts w:ascii="Times New Roman" w:hAnsi="Times New Roman" w:cs="Times New Roman"/>
          <w:shd w:val="clear" w:color="auto" w:fill="FFFFFF"/>
        </w:rPr>
      </w:pPr>
      <w:r w:rsidRPr="00EA4F32">
        <w:rPr>
          <w:rFonts w:ascii="Times New Roman" w:hAnsi="Times New Roman" w:cs="Times New Roman"/>
          <w:shd w:val="clear" w:color="auto" w:fill="FFFFFF"/>
        </w:rPr>
        <w:t>3</w:t>
      </w:r>
      <w:r w:rsidR="00836289" w:rsidRPr="00EA4F32">
        <w:rPr>
          <w:rFonts w:ascii="Times New Roman" w:hAnsi="Times New Roman" w:cs="Times New Roman"/>
          <w:shd w:val="clear" w:color="auto" w:fill="FFFFFF"/>
        </w:rPr>
        <w:t>.</w:t>
      </w:r>
      <w:r w:rsidRPr="00EA4F32">
        <w:rPr>
          <w:rFonts w:ascii="Times New Roman" w:hAnsi="Times New Roman" w:cs="Times New Roman"/>
          <w:shd w:val="clear" w:color="auto" w:fill="FFFFFF"/>
        </w:rPr>
        <w:t xml:space="preserve"> </w:t>
      </w:r>
      <w:r w:rsidR="00836289" w:rsidRPr="00EA4F32">
        <w:rPr>
          <w:rFonts w:ascii="Times New Roman" w:hAnsi="Times New Roman" w:cs="Times New Roman"/>
          <w:shd w:val="clear" w:color="auto" w:fill="FFFFFF"/>
        </w:rPr>
        <w:t>Н</w:t>
      </w:r>
      <w:r w:rsidR="00974587" w:rsidRPr="00EA4F32">
        <w:rPr>
          <w:rFonts w:ascii="Times New Roman" w:hAnsi="Times New Roman" w:cs="Times New Roman"/>
          <w:shd w:val="clear" w:color="auto" w:fill="FFFFFF"/>
        </w:rPr>
        <w:t>адання рекомендацій</w:t>
      </w:r>
      <w:r w:rsidR="00C16EA8" w:rsidRPr="00EA4F32">
        <w:rPr>
          <w:rFonts w:ascii="Times New Roman" w:hAnsi="Times New Roman" w:cs="Times New Roman"/>
          <w:shd w:val="clear" w:color="auto" w:fill="FFFFFF"/>
        </w:rPr>
        <w:t xml:space="preserve"> щодо інтелектуального </w:t>
      </w:r>
      <w:r w:rsidRPr="00EA4F32">
        <w:rPr>
          <w:rFonts w:ascii="Times New Roman" w:hAnsi="Times New Roman" w:cs="Times New Roman"/>
          <w:shd w:val="clear" w:color="auto" w:fill="FFFFFF"/>
        </w:rPr>
        <w:t>хеджування</w:t>
      </w:r>
      <w:r w:rsidR="00C16EA8" w:rsidRPr="00EA4F32">
        <w:rPr>
          <w:rFonts w:ascii="Times New Roman" w:hAnsi="Times New Roman" w:cs="Times New Roman"/>
          <w:shd w:val="clear" w:color="auto" w:fill="FFFFFF"/>
        </w:rPr>
        <w:t xml:space="preserve"> валютних ризиків</w:t>
      </w:r>
      <w:r w:rsidR="004F6347" w:rsidRPr="00EA4F32">
        <w:rPr>
          <w:rFonts w:ascii="Times New Roman" w:hAnsi="Times New Roman" w:cs="Times New Roman"/>
          <w:shd w:val="clear" w:color="auto" w:fill="FFFFFF"/>
        </w:rPr>
        <w:t>.</w:t>
      </w:r>
    </w:p>
    <w:p w:rsidR="00A41B6A" w:rsidRPr="00EA4F32" w:rsidRDefault="00E5690D" w:rsidP="00FA053C">
      <w:pPr>
        <w:spacing w:after="0" w:line="240" w:lineRule="auto"/>
        <w:ind w:firstLine="510"/>
        <w:jc w:val="both"/>
        <w:rPr>
          <w:rFonts w:ascii="Times New Roman" w:hAnsi="Times New Roman" w:cs="Times New Roman"/>
          <w:shd w:val="clear" w:color="auto" w:fill="FFFFFF"/>
        </w:rPr>
      </w:pPr>
      <w:r w:rsidRPr="00EA4F32">
        <w:rPr>
          <w:rFonts w:ascii="Times New Roman" w:hAnsi="Times New Roman" w:cs="Times New Roman"/>
          <w:shd w:val="clear" w:color="auto" w:fill="FFFFFF"/>
        </w:rPr>
        <w:t>Таким чином</w:t>
      </w:r>
      <w:r w:rsidR="00C16EA8" w:rsidRPr="00EA4F32">
        <w:rPr>
          <w:rFonts w:ascii="Times New Roman" w:hAnsi="Times New Roman" w:cs="Times New Roman"/>
          <w:shd w:val="clear" w:color="auto" w:fill="FFFFFF"/>
        </w:rPr>
        <w:t>,</w:t>
      </w:r>
      <w:r w:rsidRPr="00EA4F32">
        <w:rPr>
          <w:rFonts w:ascii="Times New Roman" w:hAnsi="Times New Roman" w:cs="Times New Roman"/>
          <w:shd w:val="clear" w:color="auto" w:fill="FFFFFF"/>
        </w:rPr>
        <w:t xml:space="preserve"> запропонований підхід </w:t>
      </w:r>
      <w:r w:rsidR="00C16EA8" w:rsidRPr="00EA4F32">
        <w:rPr>
          <w:rFonts w:ascii="Times New Roman" w:hAnsi="Times New Roman" w:cs="Times New Roman"/>
          <w:shd w:val="clear" w:color="auto" w:fill="FFFFFF"/>
        </w:rPr>
        <w:t>може бути використаним для</w:t>
      </w:r>
      <w:r w:rsidRPr="00EA4F32">
        <w:rPr>
          <w:rFonts w:ascii="Times New Roman" w:hAnsi="Times New Roman" w:cs="Times New Roman"/>
          <w:shd w:val="clear" w:color="auto" w:fill="FFFFFF"/>
        </w:rPr>
        <w:t xml:space="preserve"> хеджування валютних ризиків.</w:t>
      </w:r>
    </w:p>
    <w:p w:rsidR="00090B7E" w:rsidRPr="00EA4F32" w:rsidRDefault="00090B7E" w:rsidP="009168C8">
      <w:pPr>
        <w:spacing w:after="0" w:line="240" w:lineRule="auto"/>
        <w:ind w:firstLine="567"/>
        <w:jc w:val="both"/>
        <w:rPr>
          <w:rFonts w:ascii="Times New Roman" w:hAnsi="Times New Roman" w:cs="Times New Roman"/>
          <w:shd w:val="clear" w:color="auto" w:fill="FFFFFF"/>
        </w:rPr>
      </w:pPr>
    </w:p>
    <w:p w:rsidR="00A55C6E" w:rsidRDefault="00A55C6E" w:rsidP="004B79C1">
      <w:pPr>
        <w:shd w:val="clear" w:color="auto" w:fill="FFFFFF"/>
        <w:spacing w:after="0" w:line="240" w:lineRule="auto"/>
        <w:ind w:firstLine="51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ПЕРЕЛІК ЛІТЕРАТУРИ </w:t>
      </w:r>
    </w:p>
    <w:p w:rsidR="00090B7E" w:rsidRPr="00EA4F32" w:rsidRDefault="00090B7E" w:rsidP="004B79C1">
      <w:pPr>
        <w:shd w:val="clear" w:color="auto" w:fill="FFFFFF"/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lang w:eastAsia="ru-RU"/>
        </w:rPr>
      </w:pPr>
      <w:r w:rsidRPr="00EA4F32">
        <w:rPr>
          <w:rFonts w:ascii="Times New Roman" w:eastAsia="Times New Roman" w:hAnsi="Times New Roman" w:cs="Times New Roman"/>
          <w:color w:val="1B1F21"/>
          <w:lang w:eastAsia="ru-RU"/>
        </w:rPr>
        <w:t xml:space="preserve">1. </w:t>
      </w:r>
      <w:r w:rsidR="008866C3" w:rsidRPr="00EA4F32">
        <w:rPr>
          <w:rFonts w:ascii="Times New Roman" w:eastAsia="Times New Roman" w:hAnsi="Times New Roman" w:cs="Times New Roman"/>
          <w:color w:val="1B1F21"/>
          <w:lang w:eastAsia="ru-RU"/>
        </w:rPr>
        <w:t>Пузаненко В.В. ХЕДЖУВАННЯ ВАЛЮТНИХ РИЗИКІВ [Електронний ресурс] --  http:/</w:t>
      </w:r>
      <w:r w:rsidR="008866C3" w:rsidRPr="00EA4F32">
        <w:rPr>
          <w:rFonts w:ascii="Times New Roman" w:eastAsia="Times New Roman" w:hAnsi="Times New Roman" w:cs="Times New Roman"/>
          <w:lang w:eastAsia="ru-RU"/>
        </w:rPr>
        <w:t>/intkonf.org/puzanenko-vv-hedzhuvannya-valyutnih-rizikiv/</w:t>
      </w:r>
      <w:r w:rsidRPr="00EA4F32"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090B7E" w:rsidRPr="00EA4F32" w:rsidRDefault="00090B7E" w:rsidP="004B79C1">
      <w:pPr>
        <w:shd w:val="clear" w:color="auto" w:fill="FFFFFF"/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lang w:eastAsia="ru-RU"/>
        </w:rPr>
      </w:pPr>
      <w:r w:rsidRPr="00EA4F32">
        <w:rPr>
          <w:rFonts w:ascii="Times New Roman" w:hAnsi="Times New Roman" w:cs="Times New Roman"/>
          <w:shd w:val="clear" w:color="auto" w:fill="FFFFFF"/>
        </w:rPr>
        <w:t>2. Демиденко, Д.В. Аналіз валютних ризиків в якості основи і розробити програм хеджування. / Д.В. Демиденко // Бухгалтерський облік іанализ.-2010.-№ 1. – з. 16-21.</w:t>
      </w:r>
    </w:p>
    <w:p w:rsidR="008866C3" w:rsidRPr="00F33837" w:rsidRDefault="00090B7E" w:rsidP="00F33837">
      <w:pPr>
        <w:shd w:val="clear" w:color="auto" w:fill="FFFFFF"/>
        <w:spacing w:after="0" w:line="240" w:lineRule="auto"/>
        <w:ind w:firstLine="510"/>
        <w:jc w:val="both"/>
        <w:rPr>
          <w:rFonts w:ascii="Times New Roman" w:hAnsi="Times New Roman" w:cs="Times New Roman"/>
        </w:rPr>
      </w:pPr>
      <w:r w:rsidRPr="00EA4F32">
        <w:rPr>
          <w:rFonts w:ascii="Times New Roman" w:hAnsi="Times New Roman" w:cs="Times New Roman"/>
        </w:rPr>
        <w:t>3. Доклад "Модель оценки рисков VAR индивидуальных стратегий" // II Восточноевропейский риск-менеджмент форум 04.11.2003г.// www.riskinfo.ru/analytics</w:t>
      </w:r>
    </w:p>
    <w:sectPr w:rsidR="008866C3" w:rsidRPr="00F33837" w:rsidSect="00EA4F32"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BB6" w:rsidRDefault="00AC6BB6" w:rsidP="00A41B6A">
      <w:pPr>
        <w:spacing w:after="0" w:line="240" w:lineRule="auto"/>
      </w:pPr>
      <w:r>
        <w:separator/>
      </w:r>
    </w:p>
  </w:endnote>
  <w:endnote w:type="continuationSeparator" w:id="0">
    <w:p w:rsidR="00AC6BB6" w:rsidRDefault="00AC6BB6" w:rsidP="00A41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BB6" w:rsidRDefault="00AC6BB6" w:rsidP="00A41B6A">
      <w:pPr>
        <w:spacing w:after="0" w:line="240" w:lineRule="auto"/>
      </w:pPr>
      <w:r>
        <w:separator/>
      </w:r>
    </w:p>
  </w:footnote>
  <w:footnote w:type="continuationSeparator" w:id="0">
    <w:p w:rsidR="00AC6BB6" w:rsidRDefault="00AC6BB6" w:rsidP="00A41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F231C"/>
    <w:multiLevelType w:val="hybridMultilevel"/>
    <w:tmpl w:val="8DDCA002"/>
    <w:lvl w:ilvl="0" w:tplc="0419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>
    <w:nsid w:val="24D24DDC"/>
    <w:multiLevelType w:val="hybridMultilevel"/>
    <w:tmpl w:val="6FA6A106"/>
    <w:lvl w:ilvl="0" w:tplc="132006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652390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006EE2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21CF51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C281B7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7B0402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67271B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D12374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E6474F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9E2B50"/>
    <w:multiLevelType w:val="hybridMultilevel"/>
    <w:tmpl w:val="D42EA9C0"/>
    <w:lvl w:ilvl="0" w:tplc="A3DC9E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049E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E298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7E68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D899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5897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8884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B855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165E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3B03E9C"/>
    <w:multiLevelType w:val="hybridMultilevel"/>
    <w:tmpl w:val="A5D2D236"/>
    <w:lvl w:ilvl="0" w:tplc="7ED06A8A">
      <w:start w:val="3"/>
      <w:numFmt w:val="decimal"/>
      <w:lvlText w:val="%1."/>
      <w:lvlJc w:val="left"/>
      <w:pPr>
        <w:ind w:left="1080" w:hanging="360"/>
      </w:pPr>
      <w:rPr>
        <w:rFonts w:ascii="Tahoma" w:eastAsiaTheme="minorHAnsi" w:hAnsi="Tahoma" w:cs="Tahoma" w:hint="default"/>
        <w:color w:val="2C2C2C"/>
        <w:sz w:val="19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3C53AB"/>
    <w:multiLevelType w:val="hybridMultilevel"/>
    <w:tmpl w:val="001473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B0F5B58"/>
    <w:multiLevelType w:val="hybridMultilevel"/>
    <w:tmpl w:val="7A5EF0B8"/>
    <w:lvl w:ilvl="0" w:tplc="4F54B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4676210"/>
    <w:multiLevelType w:val="hybridMultilevel"/>
    <w:tmpl w:val="7CAA2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753ED6"/>
    <w:multiLevelType w:val="hybridMultilevel"/>
    <w:tmpl w:val="9A227A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51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A9C"/>
    <w:rsid w:val="00004F0D"/>
    <w:rsid w:val="00005EA8"/>
    <w:rsid w:val="00072BC3"/>
    <w:rsid w:val="00090B7E"/>
    <w:rsid w:val="000C33D0"/>
    <w:rsid w:val="001576C0"/>
    <w:rsid w:val="001A0E8C"/>
    <w:rsid w:val="00204CB8"/>
    <w:rsid w:val="002732BC"/>
    <w:rsid w:val="002D40D3"/>
    <w:rsid w:val="003143C4"/>
    <w:rsid w:val="0034076E"/>
    <w:rsid w:val="003777DC"/>
    <w:rsid w:val="0043015D"/>
    <w:rsid w:val="004A737D"/>
    <w:rsid w:val="004B79C1"/>
    <w:rsid w:val="004D1B5B"/>
    <w:rsid w:val="004F6347"/>
    <w:rsid w:val="00524F6A"/>
    <w:rsid w:val="00545831"/>
    <w:rsid w:val="005817A1"/>
    <w:rsid w:val="0059072B"/>
    <w:rsid w:val="00593BBE"/>
    <w:rsid w:val="00596C89"/>
    <w:rsid w:val="005D6EAA"/>
    <w:rsid w:val="00616BC6"/>
    <w:rsid w:val="006A7C81"/>
    <w:rsid w:val="007041EA"/>
    <w:rsid w:val="00751D5D"/>
    <w:rsid w:val="00836289"/>
    <w:rsid w:val="008375F0"/>
    <w:rsid w:val="0083791B"/>
    <w:rsid w:val="008866C3"/>
    <w:rsid w:val="008A17D7"/>
    <w:rsid w:val="009168C8"/>
    <w:rsid w:val="00923208"/>
    <w:rsid w:val="00953057"/>
    <w:rsid w:val="00954170"/>
    <w:rsid w:val="00974587"/>
    <w:rsid w:val="00A04086"/>
    <w:rsid w:val="00A3767D"/>
    <w:rsid w:val="00A41B6A"/>
    <w:rsid w:val="00A55C6E"/>
    <w:rsid w:val="00A76065"/>
    <w:rsid w:val="00AB1525"/>
    <w:rsid w:val="00AC6BB6"/>
    <w:rsid w:val="00AD1D9B"/>
    <w:rsid w:val="00B33D5B"/>
    <w:rsid w:val="00B40A9C"/>
    <w:rsid w:val="00B85AD5"/>
    <w:rsid w:val="00C16EA8"/>
    <w:rsid w:val="00C24B7B"/>
    <w:rsid w:val="00CA22F4"/>
    <w:rsid w:val="00CC5ACF"/>
    <w:rsid w:val="00DB2738"/>
    <w:rsid w:val="00E00577"/>
    <w:rsid w:val="00E5690D"/>
    <w:rsid w:val="00E65EFE"/>
    <w:rsid w:val="00EA4F32"/>
    <w:rsid w:val="00F06883"/>
    <w:rsid w:val="00F33837"/>
    <w:rsid w:val="00F969D9"/>
    <w:rsid w:val="00FA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37EFF-3130-4744-8103-F37D8FA6E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40A9C"/>
    <w:rPr>
      <w:b/>
      <w:bCs/>
    </w:rPr>
  </w:style>
  <w:style w:type="character" w:customStyle="1" w:styleId="apple-converted-space">
    <w:name w:val="apple-converted-space"/>
    <w:basedOn w:val="a0"/>
    <w:rsid w:val="00B40A9C"/>
  </w:style>
  <w:style w:type="paragraph" w:styleId="a4">
    <w:name w:val="Normal (Web)"/>
    <w:basedOn w:val="a"/>
    <w:uiPriority w:val="99"/>
    <w:unhideWhenUsed/>
    <w:rsid w:val="00B40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List Paragraph"/>
    <w:basedOn w:val="a"/>
    <w:uiPriority w:val="34"/>
    <w:qFormat/>
    <w:rsid w:val="00204CB8"/>
    <w:pPr>
      <w:ind w:left="720"/>
      <w:contextualSpacing/>
    </w:pPr>
  </w:style>
  <w:style w:type="table" w:styleId="a6">
    <w:name w:val="Table Grid"/>
    <w:basedOn w:val="a1"/>
    <w:uiPriority w:val="39"/>
    <w:rsid w:val="00A41B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41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1B6A"/>
  </w:style>
  <w:style w:type="paragraph" w:styleId="a9">
    <w:name w:val="footer"/>
    <w:basedOn w:val="a"/>
    <w:link w:val="aa"/>
    <w:uiPriority w:val="99"/>
    <w:unhideWhenUsed/>
    <w:rsid w:val="00A41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1B6A"/>
  </w:style>
  <w:style w:type="character" w:styleId="ab">
    <w:name w:val="Hyperlink"/>
    <w:basedOn w:val="a0"/>
    <w:uiPriority w:val="99"/>
    <w:unhideWhenUsed/>
    <w:rsid w:val="008866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6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129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405008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6970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6176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 Бруй</dc:creator>
  <cp:lastModifiedBy>Вячеслав Бруй</cp:lastModifiedBy>
  <cp:revision>4</cp:revision>
  <dcterms:created xsi:type="dcterms:W3CDTF">2013-04-26T07:13:00Z</dcterms:created>
  <dcterms:modified xsi:type="dcterms:W3CDTF">2013-04-26T07:25:00Z</dcterms:modified>
</cp:coreProperties>
</file>