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29E" w:rsidRPr="0034629E" w:rsidRDefault="0034629E" w:rsidP="0034629E">
      <w:pPr>
        <w:spacing w:before="48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34629E">
        <w:rPr>
          <w:rFonts w:ascii="Times New Roman" w:eastAsia="Times New Roman" w:hAnsi="Times New Roman" w:cs="Times New Roman"/>
          <w:color w:val="366091"/>
          <w:kern w:val="36"/>
          <w:sz w:val="24"/>
          <w:szCs w:val="24"/>
          <w:lang w:eastAsia="ru-RU"/>
        </w:rPr>
        <w:t xml:space="preserve">УДК 621.385.6: 662.613.11 </w:t>
      </w:r>
    </w:p>
    <w:p w:rsidR="0034629E" w:rsidRPr="0034629E" w:rsidRDefault="0034629E" w:rsidP="0034629E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</w:t>
      </w: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Сердюк В.Р., д.т.н., профессор,</w:t>
      </w:r>
    </w:p>
    <w:p w:rsidR="0034629E" w:rsidRPr="0034629E" w:rsidRDefault="0034629E" w:rsidP="0034629E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Сидлак А. C. аспирант</w:t>
      </w:r>
    </w:p>
    <w:p w:rsidR="0034629E" w:rsidRPr="0034629E" w:rsidRDefault="0034629E" w:rsidP="0034629E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Винницкий национальный технический </w:t>
      </w:r>
    </w:p>
    <w:p w:rsidR="0034629E" w:rsidRPr="0034629E" w:rsidRDefault="0034629E" w:rsidP="0034629E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университет</w:t>
      </w:r>
    </w:p>
    <w:p w:rsidR="0034629E" w:rsidRPr="0034629E" w:rsidRDefault="0034629E" w:rsidP="0034629E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Хмельницкое шоссе,95,  21021, Винница</w:t>
      </w:r>
    </w:p>
    <w:p w:rsidR="0034629E" w:rsidRPr="0034629E" w:rsidRDefault="0034629E" w:rsidP="0034629E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тел. 0982412173,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proofErr w:type="gramEnd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-mail</w:t>
      </w:r>
      <w:proofErr w:type="spellEnd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hyperlink r:id="rId5" w:history="1">
        <w:r w:rsidRPr="0034629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modser@i.ua</w:t>
        </w:r>
      </w:hyperlink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ТЕОРОЕТИЧЕСКИЕ ПРЕДПОСЫЛКИ  ВНЕДРЕНИЯ  СВЧ ИЗЛУЧЕНИЙ    ПРИ АКТИВАЦИИ </w:t>
      </w:r>
      <w:proofErr w:type="gramStart"/>
      <w:r w:rsidRPr="00346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ЗОЛЫ-ВЫНОС</w:t>
      </w:r>
      <w:proofErr w:type="gramEnd"/>
      <w:r w:rsidRPr="00346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БЕТОННЫХ СМЕСЕЙ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На основе проведенных аналитических исследований разработаны теоретические предпосылки использования СВЧ излучений для активации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Приведены результаты испытаний предварительно активированной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в качестве добавки в цемент. </w:t>
      </w:r>
    </w:p>
    <w:p w:rsidR="0034629E" w:rsidRPr="0034629E" w:rsidRDefault="0034629E" w:rsidP="0034629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Ключевые слова:</w:t>
      </w:r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СВЧ излучение в строительстве, теоретические предпосылки активации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34629E" w:rsidRPr="0034629E" w:rsidRDefault="0034629E" w:rsidP="0034629E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Введение.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Сегодня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СВЧ-энергетика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играет существенную роль в быту, во многих отраслях экономики, связанных с обработкой пищевых продуктов, пластмасс, сушкой продуктов сельского хозяйства и древесины, затвердеванием и раскалыванием горных пород. СВЧ – энергетика относится к числу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энергосберегающих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этому, она вносит существенный вклад в энергосбережение.</w:t>
      </w:r>
    </w:p>
    <w:p w:rsidR="0034629E" w:rsidRPr="0034629E" w:rsidRDefault="0034629E" w:rsidP="003462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Поглощение микроволнового  излучения обусловлено действием двух факторов. Во-первых, движение диполей (полярных молекул или иных обособленных групп атомов) приобретает определенную ориентацию, связанную с характером наложенного поля. Когда интенсивность излучения уменьшается, ориентация, возникшая исчезает и хаотичность крутящего (и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колебательного) 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 молекул восстанавливается, при этом выделяется тепловая энергия. При частоте 2,45 ГГц ориентация диполей молекул и их разупорядочения может происходить несколько миллиардов раз в 1 секунду, что и приводит к быстрому разогреву образца. Второй фактор, особенно важен для тепловыделения в водных растворах, он обусловлен направленной миграцией присутствующих в растворе ионов под действием внешнего поля. Такая миграция ионов - это фактически протекающий через раствор электрический ток силой I. Прохождение тока через проводник с сопротивлением R приводит к выделению теплоты, пропорциональной IR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eastAsia="ru-RU"/>
        </w:rPr>
        <w:t>2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Так как сопротивление R растет с ростом температуры, а сила тока, переносится ионами и с ростом их концентрации, то оба эти фактора заметно влияют на тангенс потерь микроволнового излучения в растворах [1]. 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Поскольку, диэлектрический нагрев это метод нагрева диэлектрических материалов переменным во времени электрическим полем, то если электрическое поле изменяется со сверхвысокой частотой (СВЧ) в диапазоне 0,4 - 10 ГГц, то это СВЧ нагрев, если с частотой в диапазоне 10 - 100 кГц, то - нагрев  токами высокой частоты (ТВЧ). Глубина проникновения электромагнитного поля в диэлектрическую среду определяется частотой, чем выше частота, тем меньше глубина проникновения и наоборот. 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Быстрое внедрение СВЧ в практику научных исследований и технику стало возможным благодаря разработке недорогих и надежных СВЧ генераторов [2]. В 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последние годы наблюдается значительное возрастание интереса к практическому использованию СВЧ энергии в промышленных целях [3].  </w:t>
      </w:r>
    </w:p>
    <w:p w:rsidR="0034629E" w:rsidRPr="0034629E" w:rsidRDefault="0034629E" w:rsidP="0034629E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Отличительной особенностью диэлектрического нагрева от двух других, физически возможных способов нагрева - </w:t>
      </w:r>
      <w:proofErr w:type="spellStart"/>
      <w:r w:rsidRPr="0034629E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кондуктивного</w:t>
      </w:r>
      <w:proofErr w:type="spellEnd"/>
      <w:r w:rsidRPr="0034629E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(от греющей стенки) или конвективного (горячим потоком теплоносителя, воздухом например) является объемность тепловыделения в нагреваемой диэлектрической среде.  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особенностям нагрева диэлектриков в диапазонах УВЧ и СВЧ    следует отнести:</w:t>
      </w:r>
    </w:p>
    <w:p w:rsidR="0034629E" w:rsidRPr="0034629E" w:rsidRDefault="0034629E" w:rsidP="0034629E">
      <w:pPr>
        <w:numPr>
          <w:ilvl w:val="0"/>
          <w:numId w:val="1"/>
        </w:numPr>
        <w:spacing w:after="0" w:line="240" w:lineRule="auto"/>
        <w:ind w:left="93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СВЧ при рациональном подборе частоты колебаний и параметров камер, где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происходит преобразование СВЧ энергии в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тепловую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можно получить относительно равномерное выделение тепла по объему тела; </w:t>
      </w:r>
    </w:p>
    <w:p w:rsidR="0034629E" w:rsidRPr="0034629E" w:rsidRDefault="0034629E" w:rsidP="0034629E">
      <w:pPr>
        <w:numPr>
          <w:ilvl w:val="0"/>
          <w:numId w:val="2"/>
        </w:numPr>
        <w:spacing w:after="0" w:line="240" w:lineRule="auto"/>
        <w:ind w:left="93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преобразования энергии электрического поля  в  тепло возрастает прямо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пропорционально частоте колебаний и квадрату напряженности электрического поля;</w:t>
      </w:r>
    </w:p>
    <w:p w:rsidR="0034629E" w:rsidRPr="0034629E" w:rsidRDefault="0034629E" w:rsidP="0034629E">
      <w:pPr>
        <w:numPr>
          <w:ilvl w:val="0"/>
          <w:numId w:val="3"/>
        </w:numPr>
        <w:spacing w:after="0" w:line="240" w:lineRule="auto"/>
        <w:ind w:left="93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 к любому участку нагреваемого тела просто передается   СВЧ энергия;</w:t>
      </w:r>
    </w:p>
    <w:p w:rsidR="0034629E" w:rsidRPr="0034629E" w:rsidRDefault="0034629E" w:rsidP="0034629E">
      <w:pPr>
        <w:numPr>
          <w:ilvl w:val="0"/>
          <w:numId w:val="3"/>
        </w:numPr>
        <w:spacing w:after="0" w:line="240" w:lineRule="auto"/>
        <w:ind w:left="93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 нагрев обеспечивает возможность практически мгновенного выключения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теплового воздействия на обрабатываемый материал;</w:t>
      </w:r>
    </w:p>
    <w:p w:rsidR="0034629E" w:rsidRPr="0034629E" w:rsidRDefault="0034629E" w:rsidP="0034629E">
      <w:pPr>
        <w:numPr>
          <w:ilvl w:val="0"/>
          <w:numId w:val="4"/>
        </w:numPr>
        <w:spacing w:after="0" w:line="240" w:lineRule="auto"/>
        <w:ind w:left="93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 нагрев имеет высокий КПД преобразования СВЧ энергии в   тепловую энергию,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теоретическое значение этого КПД близко к 100%;</w:t>
      </w:r>
    </w:p>
    <w:p w:rsidR="0034629E" w:rsidRPr="0034629E" w:rsidRDefault="0034629E" w:rsidP="0034629E">
      <w:pPr>
        <w:numPr>
          <w:ilvl w:val="0"/>
          <w:numId w:val="5"/>
        </w:numPr>
        <w:spacing w:after="0" w:line="240" w:lineRule="auto"/>
        <w:ind w:left="93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тепловые потери в подводящих трактах обычно невелики, и стенки  волноводов и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рабочих камер остаются практически холодными;</w:t>
      </w:r>
    </w:p>
    <w:p w:rsidR="0034629E" w:rsidRPr="0034629E" w:rsidRDefault="0034629E" w:rsidP="0034629E">
      <w:pPr>
        <w:numPr>
          <w:ilvl w:val="0"/>
          <w:numId w:val="6"/>
        </w:numPr>
        <w:spacing w:after="0" w:line="240" w:lineRule="auto"/>
        <w:ind w:left="93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 излучение обеспечивает возможность осуществления равномерного,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избирательного, сверхчистого, саморегулирующегося нагрева.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Предварительные аналитические исследования,  проведенные нами показывают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при использовании СВЧ – излучения в области химии, строительных материалов особо важную роль наряду с объемным внутренним разогревом материала играет так называемый «нетермический» эффект СВЧ – излучения. 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         </w:t>
      </w: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работы.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Исследование эффективности использования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СВЧ-излучения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активации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золы-унос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Аналитические исследования. 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Нетермическое воздействие СВЧ – излучения в области цементных бетонов и других строительных материалов является недостаточно изученным, хотя имеется достаточно много примеров достаточно эффективного влияния нетермического эффекта микроволнового излучения  на различные химические процессы. 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        Этот эффект проявляется п</w:t>
      </w:r>
      <w:r w:rsidRPr="0034629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ри взаимодействии кислот и спиртов 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отсутствии катализаторов - воздействие микроволнового излучения приводит к получению сложных эфиров с более высоким выходом за меньшее время по сравнению с термическими реакциями [4]. Обработка непредельных каучуков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микроволновым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СВЧ-излучением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приводит к повышению прочностных показателей резин на основе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этиленпропилендиенового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каучука на 20-30%, хлоропренового – на 70-100%, ускорению вулканизации на 10-15% [5]. Применение микроволновых технологий  позволяет сократить продолжительность деполимеризации (в 15 раз) и уменьшить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энергозатраты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вторичной переработке (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рециклинге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бывших в употреблении пластмасс (пластиковых бутылок из полиэтилентерефталата)[6].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Микроволновая обработка полем СВЧ глинистых композиций положительно отражается на прочностных свойствах обожженных изделий [7-8]. 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работе [9] показано, что СВЧ нагрев образцов СаСО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3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высокочастотном электромагнитном поле инициирует процесс диссоциации во всем объёме образца, при этом температура  в центре образца на 50-60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eastAsia="ru-RU"/>
        </w:rPr>
        <w:t>o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C выше, чем на поверхности. При СВЧ нагреве энергетические затраты на производство  1 кг продукции в 1,4 раза ниже в сравнении с затратами по традиционной технологии, 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значительно большую реакционную способность.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Активацию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адгезионных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способностей наполнителей в цементных бетонах можно осуществлять воздействием на них ионизирующим излучений, электрическими и магнитными полями за счет увеличения их свободной энергии [10].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работах [11, 12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]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показано, что под действием ультрафиолетового облучения (УФ) происходит изменение поверхности кремнезема, в результате чего образуются свободные валентности, играющие роль активных центров адсорбции. А в работе  [13] показано, что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УФ - обработка в течение 3-20 минут наполнителей фракции 0,14-0,315 мм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варцевой лампой  позволяет сократить расход цемента в бетоне до 20%.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Таким образом, СВЧ обработка компонентом бетонов, других строительных материалов представляет большой научный и практический интерес.  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 xml:space="preserve">Результаты экспериментальных исследований. 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Активация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Ладыжинской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ТЭЦ проводилась нами с помощью микроволновой печи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Daewoo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KOG-6C27, мощностью 800 Вт. Оптимальная продолжительность СВЧ обработки составляла 26-30 минут, расчетная удельная мощность составляла 400-500 Вт/кг. </w:t>
      </w:r>
    </w:p>
    <w:p w:rsidR="0034629E" w:rsidRPr="0034629E" w:rsidRDefault="0034629E" w:rsidP="003462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СВЧ обработки проводились сравнительная оценка дисперсности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активированой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путем оценки остатка на сите 008. Остаток на сите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активированной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соответственно составлял 21 и 15%. Насыпная плотность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согласно ДСТУ Б В.2.7-264:2011, составила для активированной 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1170кг/м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eastAsia="ru-RU"/>
        </w:rPr>
        <w:t>3  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 1205 кг/м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eastAsia="ru-RU"/>
        </w:rPr>
        <w:t>3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4629E" w:rsidRPr="0034629E" w:rsidRDefault="0034629E" w:rsidP="003462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Активированую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золу-вынос  было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рассмотренно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«условный цемент» и испытано по аналогии цемента. На рисунке  1 и 2 приведены сравнительные испытания водно-зольной смеси при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/Т=0,6 по аналогии  испытания сроков схватывания цемента с активированной и не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активированой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золой-вынос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Ладыжинской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ТЭЦ.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867400" cy="2143125"/>
            <wp:effectExtent l="19050" t="0" r="0" b="0"/>
            <wp:docPr id="1" name="Рисунок 1" descr="https://lh4.googleusercontent.com/PrzmQb5bS6PMZmv-I-PD6RbAoE1aZzuUMO5P400nD_2kiK6JceTNzpFM-bvz3XYdXSMF2tFdyxG9nFoUCQ2F6q8kUvdmvUWceZEEHyyCjZA4dDutyIvSu0mRgOqW8eLy9n-lHsm_H-27314s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PrzmQb5bS6PMZmv-I-PD6RbAoE1aZzuUMO5P400nD_2kiK6JceTNzpFM-bvz3XYdXSMF2tFdyxG9nFoUCQ2F6q8kUvdmvUWceZEEHyyCjZA4dDutyIvSu0mRgOqW8eLy9n-lHsm_H-27314sZ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29E" w:rsidRPr="0034629E" w:rsidRDefault="0034629E" w:rsidP="0034629E">
      <w:pPr>
        <w:spacing w:after="0" w:line="240" w:lineRule="auto"/>
        <w:ind w:right="-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1 - Динамика погружения иглы в водно-зольный раствор, зола активированная, аналогия схватывания цемента по прибору Вика.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867400" cy="2105025"/>
            <wp:effectExtent l="19050" t="0" r="0" b="0"/>
            <wp:docPr id="2" name="Рисунок 2" descr="https://lh3.googleusercontent.com/bcFECAxLvi5t1GYv5FEL_vW61kShF9rkiGEJwJPNjIpWTkR0bEIHfyzmi8wyWR-n3nUFDGNkPjdWi5SERqSEwyJaAGT2fJ9sNpKJvsGjiuY24MVOqvIyu913nnCm75rp1J397Kew-MAi5k06J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bcFECAxLvi5t1GYv5FEL_vW61kShF9rkiGEJwJPNjIpWTkR0bEIHfyzmi8wyWR-n3nUFDGNkPjdWi5SERqSEwyJaAGT2fJ9sNpKJvsGjiuY24MVOqvIyu913nnCm75rp1J397Kew-MAi5k06J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29E" w:rsidRPr="0034629E" w:rsidRDefault="0034629E" w:rsidP="0034629E">
      <w:pPr>
        <w:spacing w:after="120" w:line="240" w:lineRule="auto"/>
        <w:ind w:right="-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 2 - Динамика погружения иглы в водно-зольный раствор, зола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неактивированная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аналогия схватывания цемента по прибору Вика.</w:t>
      </w:r>
    </w:p>
    <w:p w:rsidR="0034629E" w:rsidRPr="0034629E" w:rsidRDefault="0034629E" w:rsidP="0034629E">
      <w:pPr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видно из рисунка 1 и 2 динамика структурной прочности (аналог начала строка схватывания цемента)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водо-зольной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смеси с активированной золой  наступает через 4 часа, тогда как этот показатель для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наступает через 5 часов 12 мин. Конец условного «схватывания» водно-зольной суспензии с активированной золы  наступает через 5 ч 12 мин., а с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через 6 часов 50 мин.</w:t>
      </w:r>
      <w:proofErr w:type="gramEnd"/>
    </w:p>
    <w:p w:rsidR="0034629E" w:rsidRPr="0034629E" w:rsidRDefault="0034629E" w:rsidP="003462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микроволновой обработки дисперсность золы – вынос увеличивается, она  характеризуются значительно меньшими размерами частиц, следовательно, для них характерны высокие значения избыточной свободной энергии и они склонны к процессам когерентного срастания и агрегации первичных кристаллитов, что и обеспечивает прирост прочности за счет фактора облучения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4629E" w:rsidRPr="0034629E" w:rsidRDefault="0034629E" w:rsidP="003462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Поскольку активированная зола-вынос приобретает значительно раньше «структурную» прочность по сравнению с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золой, следовательно, активированная зола должна обеспечить большую прочность, как добавка в цементных смесях. </w:t>
      </w:r>
    </w:p>
    <w:p w:rsidR="0034629E" w:rsidRPr="0034629E" w:rsidRDefault="0034629E" w:rsidP="003462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таблице приведены составы цементно-песчаной смеси с добавкой активированной 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</w:p>
    <w:p w:rsidR="0034629E" w:rsidRPr="0034629E" w:rsidRDefault="0034629E" w:rsidP="0034629E">
      <w:pPr>
        <w:spacing w:after="12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</w:p>
    <w:p w:rsidR="0034629E" w:rsidRPr="0034629E" w:rsidRDefault="0034629E" w:rsidP="0034629E">
      <w:pPr>
        <w:spacing w:after="12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Влияние СВЧ облучения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прочность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цементнозольнопесчаных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растворов</w:t>
      </w:r>
    </w:p>
    <w:p w:rsidR="0034629E" w:rsidRPr="0034629E" w:rsidRDefault="0034629E" w:rsidP="0034629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14 суток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63"/>
        <w:gridCol w:w="660"/>
        <w:gridCol w:w="660"/>
        <w:gridCol w:w="660"/>
        <w:gridCol w:w="660"/>
        <w:gridCol w:w="660"/>
        <w:gridCol w:w="660"/>
      </w:tblGrid>
      <w:tr w:rsidR="0034629E" w:rsidRPr="0034629E" w:rsidTr="0034629E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образцов,  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4629E" w:rsidRPr="0034629E" w:rsidTr="0034629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  <w:proofErr w:type="spellStart"/>
            <w:proofErr w:type="gramStart"/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золы-вынос</w:t>
            </w:r>
            <w:proofErr w:type="spellEnd"/>
            <w:proofErr w:type="gramEnd"/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смеси,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34629E" w:rsidRPr="0034629E" w:rsidTr="0034629E">
        <w:trPr>
          <w:trHeight w:val="2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25" w:lineRule="atLeast"/>
              <w:ind w:left="602" w:hanging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цемента в смеси,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25" w:lineRule="atLeast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25" w:lineRule="atLeast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25" w:lineRule="atLeast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25" w:lineRule="atLeast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25" w:lineRule="atLeast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25" w:lineRule="atLeast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34629E" w:rsidRPr="0034629E" w:rsidTr="0034629E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Прочность с </w:t>
            </w:r>
            <w:proofErr w:type="spellStart"/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неактивированой</w:t>
            </w:r>
            <w:proofErr w:type="spellEnd"/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золой-</w:t>
            </w:r>
          </w:p>
          <w:p w:rsidR="0034629E" w:rsidRPr="0034629E" w:rsidRDefault="0034629E" w:rsidP="00346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вынос, МПа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34629E" w:rsidRPr="0034629E" w:rsidTr="0034629E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Прочность с </w:t>
            </w:r>
            <w:proofErr w:type="spellStart"/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активированой</w:t>
            </w:r>
            <w:proofErr w:type="spellEnd"/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золой-</w:t>
            </w:r>
          </w:p>
          <w:p w:rsidR="0034629E" w:rsidRPr="0034629E" w:rsidRDefault="0034629E" w:rsidP="0034629E">
            <w:pPr>
              <w:spacing w:after="0" w:line="240" w:lineRule="auto"/>
              <w:ind w:left="602" w:hanging="6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вынос, МПа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left="602" w:hanging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5,42</w:t>
            </w:r>
          </w:p>
        </w:tc>
      </w:tr>
      <w:tr w:rsidR="0034629E" w:rsidRPr="0034629E" w:rsidTr="0034629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ind w:right="-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Прирост прочности,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4629E" w:rsidRPr="0034629E" w:rsidRDefault="0034629E" w:rsidP="00346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</w:tbl>
    <w:p w:rsidR="0034629E" w:rsidRPr="0034629E" w:rsidRDefault="0034629E" w:rsidP="0034629E">
      <w:pPr>
        <w:spacing w:before="150" w:after="150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Сравнительные испытания зольно-цементной смеси  проводились, с добавкой активированной и активированной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золой-вынос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постоянном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/Т  отношении равном 0,66 в соответствии с аналогией испытаний  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цементних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образнов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 ДСТУ Б В.2.7-187: 2009 [</w:t>
      </w:r>
      <w:r w:rsidRPr="0034629E">
        <w:rPr>
          <w:rFonts w:ascii="Times New Roman" w:eastAsia="Times New Roman" w:hAnsi="Times New Roman" w:cs="Times New Roman"/>
          <w:color w:val="4F81BD"/>
          <w:sz w:val="24"/>
          <w:szCs w:val="24"/>
          <w:lang w:eastAsia="ru-RU"/>
        </w:rPr>
        <w:t>14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]. </w:t>
      </w:r>
    </w:p>
    <w:p w:rsidR="0034629E" w:rsidRPr="0034629E" w:rsidRDefault="0034629E" w:rsidP="0034629E">
      <w:pPr>
        <w:spacing w:line="240" w:lineRule="auto"/>
        <w:ind w:left="426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572125" cy="2114550"/>
            <wp:effectExtent l="19050" t="0" r="9525" b="0"/>
            <wp:docPr id="3" name="Рисунок 3" descr="https://lh3.googleusercontent.com/ZFp05vNjZoyVlAivVNA78Z4yBy72uGNjAbJjRojNjLe7Fk0fWY211ngVdBghYNyifPTdqDvKkGZ0nLxdrW3zVdkcdZ9q7_ARnEJEMFxqsrn1c_Isg80AB3mDyi8noa2UGwamRAERsb6PEECd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ZFp05vNjZoyVlAivVNA78Z4yBy72uGNjAbJjRojNjLe7Fk0fWY211ngVdBghYNyifPTdqDvKkGZ0nLxdrW3zVdkcdZ9q7_ARnEJEMFxqsrn1c_Isg80AB3mDyi8noa2UGwamRAERsb6PEECd4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29E" w:rsidRPr="0034629E" w:rsidRDefault="0034629E" w:rsidP="00346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3 -  Динамика прочности цементно-песчаного раствора с добавкой</w:t>
      </w:r>
    </w:p>
    <w:p w:rsidR="0034629E" w:rsidRPr="0034629E" w:rsidRDefault="0034629E" w:rsidP="0034629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активированной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возрасте 14 суток.</w:t>
      </w:r>
    </w:p>
    <w:p w:rsidR="0034629E" w:rsidRPr="0034629E" w:rsidRDefault="0034629E" w:rsidP="003462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Облучение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СВЧ излучением приводит к снижению насыпной плотности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сравнению с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неактивированной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золой. Такое явление очевидно связано с удалением остатков углерода, присутствующих, как правило, в топливных золах и деструктивным действием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СВЧ-излучения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частички золы. </w:t>
      </w:r>
    </w:p>
    <w:p w:rsidR="0034629E" w:rsidRPr="0034629E" w:rsidRDefault="0034629E" w:rsidP="003462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Факт повышения дисперсности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золы-унос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под действием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СВЧ-излучения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подтверждают результаты, полученные другими авторами при облучении  угля, глины, горных пород. </w:t>
      </w:r>
    </w:p>
    <w:p w:rsidR="0034629E" w:rsidRPr="0034629E" w:rsidRDefault="0034629E" w:rsidP="003462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Проанализировав данные таблицы и рисунка 3  можно определить оптимальный состав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цементнозольнопесчаного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раствора. Наибольший прирост прочности от 101 до 111% наблюдается в образцах № 5 и 4, то есть, при соотношении в смеси зола-цемент 80 до 20 и 60 до 40%  соответственно.  </w:t>
      </w:r>
    </w:p>
    <w:p w:rsidR="0034629E" w:rsidRPr="0034629E" w:rsidRDefault="0034629E" w:rsidP="003462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Выводы.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микроволнового воздействия частички золы - выноса  характеризуются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меншими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размерами, следовательно, для них характерны более высокие значениями избыточной свободной энергии и они склонны к процессам когерентного срастания и агрегации первичных кристаллитов, что и обеспечивает прирост прочности за счет активированной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золы-унос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Поскольку активированная зола –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приобретает дополнительную гидравлическую активность, она может успешно быть пользована в сочетании с другими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техногеннными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продуктами для производства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низкомарочных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в’яжучих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Внутренний разогрев материала за счет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СВЧ-излучения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одновременном проявлении эффекта «нетермического» воздействия, могут найти применение при производстве гидравлических и воздушных вяжущих с использованием побочных продуктов промышленности. Большие перспективы имеет применение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СВЧ-излучение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утилизации и переработки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фосфогипсов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занимают большие территории и являются источником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екологического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загрязнения окружающей среды.  Для нейтрализации кислотной составляющей содержание извести подбирается из расчета затрат на нейтрализацию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фосфогипсов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 xml:space="preserve"> 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ее избытка для поддержания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высокощелочной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среды. Вступая во взаимодействие с Н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3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4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СаНРО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4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2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4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2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Н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2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SiF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6  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НF, она образует с ними стабильные соединения Са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3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 РО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4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)F, 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5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(НРО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4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)ОН,  Са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3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(РО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4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2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СаSiF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6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НF. Результаты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исследований, проведенных в ВНТУ  показали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водорастворимые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фосфаты 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флориды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переходят в нерастворимые и не улетучивающиеся при термообработке  соединения. Такой метод нейтрализации не требует дополнительных технологических переделов и экологически эффективен.</w:t>
      </w:r>
    </w:p>
    <w:p w:rsidR="0034629E" w:rsidRPr="0034629E" w:rsidRDefault="0034629E" w:rsidP="0034629E">
      <w:pPr>
        <w:spacing w:after="0" w:line="240" w:lineRule="auto"/>
        <w:ind w:hanging="1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Взаимодействие СВЧ с предварительно нейтрализованным  известью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фосфогипсом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цементом 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пуцолановыми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добавками  обеспечит  создание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малоэнегоемкой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 изготовления водостойкого вяжущего.</w:t>
      </w:r>
    </w:p>
    <w:p w:rsidR="0034629E" w:rsidRPr="0034629E" w:rsidRDefault="0034629E" w:rsidP="0034629E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ab/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Наличие активированной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СВЧ-излучением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золы-вынос</w:t>
      </w:r>
      <w:proofErr w:type="spellEnd"/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фосфогипса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извести 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опоковидного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мергеля в условиях одного региона (Винницкая область) создает благоприятные условия производства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энергоэффективных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аналогов известным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алюмосульфатошлаковым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цементам (АСШЦ), которые были разработаны в прошлом столетии в МГСУ (МИСИ). Они содержат 15-35% глиноземистого цемента или шлака, 20-50% полуводного СаSO</w:t>
      </w:r>
      <w:r w:rsidRPr="0034629E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  <w:lang w:eastAsia="ru-RU"/>
        </w:rPr>
        <w:t>4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доменный или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термофосфорный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гранулированный молотый шлак и портландцемент марки 400 около 4-7%; прочность такого цемента 40-50 МПа.</w:t>
      </w:r>
      <w:r w:rsidRPr="00346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Архангельский Ю.С., Девяткин И.И.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Сверхвысокочастотные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нагревательные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установки для интенсификации технологических процессов. - Саратов: Саратов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ун-т, 1983. - 140 с.</w:t>
      </w:r>
    </w:p>
    <w:p w:rsidR="0034629E" w:rsidRPr="0034629E" w:rsidRDefault="0034629E" w:rsidP="0034629E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Соколов И.В. Магнетроны для СВЧ нагрева и источники СВЧ энергии//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</w:t>
      </w:r>
      <w:proofErr w:type="gramEnd"/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промышленость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-1996. -№3. – С.4-9.</w:t>
      </w:r>
    </w:p>
    <w:p w:rsidR="0034629E" w:rsidRPr="0034629E" w:rsidRDefault="0034629E" w:rsidP="0034629E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Плазменные процессы в производстве электронной техники/А.П.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Достанко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С.В.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Бордусов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И.В.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Свадковский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др./Под общ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ед. А.П.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Достанко.-Мн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.: ФУА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2001.- 244с.</w:t>
      </w:r>
    </w:p>
    <w:p w:rsidR="0034629E" w:rsidRPr="0034629E" w:rsidRDefault="0034629E" w:rsidP="0034629E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Аверьянов Д.Н. Синтез сложных эфиров дикарбоновых кислот с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бензиловым</w:t>
      </w:r>
      <w:proofErr w:type="spellEnd"/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спиртом под воздействием  микроволнового излучения/Д.Н. Аверьянов, А.В. Батраков, Я.Д. Самуилов и др.//Журн. общ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имии.- 2008. -Вып.10.-С.1684-1688.</w:t>
      </w:r>
    </w:p>
    <w:p w:rsidR="0034629E" w:rsidRPr="0034629E" w:rsidRDefault="0034629E" w:rsidP="0034629E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Влияние микроволнового излучения на прочностные свойства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эластомерных</w:t>
      </w:r>
      <w:proofErr w:type="spellEnd"/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композиций на основе непредельных каучуков [Электронный ресурс] В.Ф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Каблов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Н.А.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Кейбал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Д.А.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Провоторова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// Современные проблемы науки и образования. – РАЕ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М,2014.-№5; URL: </w:t>
      </w:r>
      <w:hyperlink r:id="rId9" w:history="1">
        <w:r w:rsidRPr="0034629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http://www.science</w:t>
        </w:r>
      </w:hyperlink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education.ru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/119-14866 (дата обращения:10.10.2014).</w:t>
      </w:r>
    </w:p>
    <w:p w:rsidR="0034629E" w:rsidRPr="0034629E" w:rsidRDefault="0034629E" w:rsidP="0034629E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Морозов О.Г.,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Самигуллин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Р.Р.,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Насыбуллин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А.Р. Микроволновые  технологии  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процессах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переработки и утилизации бытовых полимерных отходов/ Известия Самарского центра Российской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академиии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наук.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Т.12, №493). 2010.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С.580-582.</w:t>
      </w:r>
    </w:p>
    <w:p w:rsidR="0034629E" w:rsidRPr="0034629E" w:rsidRDefault="0034629E" w:rsidP="0034629E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Женжурин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И. А. Эффективность микроволновой обработки глинистых композиций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подборе шихты в технологии керамики. //Строительные материалы №4. 2014 – С.60-65. </w:t>
      </w:r>
    </w:p>
    <w:p w:rsidR="0034629E" w:rsidRPr="0034629E" w:rsidRDefault="0034629E" w:rsidP="0034629E">
      <w:pPr>
        <w:numPr>
          <w:ilvl w:val="0"/>
          <w:numId w:val="1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Прохина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А.В., Шаповалов Н.А.,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Латыпова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М.М. Модификация поверхности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глинистых минералов с высоким содержанием монтмориллонита в электромагнитном поле высокой частоты // Современные наукоемкие технологии. – 2011. – № 1 – С. 135-136. </w:t>
      </w:r>
    </w:p>
    <w:p w:rsidR="0034629E" w:rsidRPr="0034629E" w:rsidRDefault="0034629E" w:rsidP="0034629E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Шахин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И.Х.,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Шапорев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В.П. Обработка природного карбоната кальция в СВЧ печи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воздействии поля бегущей электромагнитной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волны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//Интегрированные технологии и энергосбережение. - Харьков: НТУ "ХПИ". - 2004. -№2. - С.96-107.</w:t>
      </w:r>
    </w:p>
    <w:p w:rsidR="0034629E" w:rsidRPr="0034629E" w:rsidRDefault="0034629E" w:rsidP="0034629E">
      <w:pPr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Саломатов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В.И., Дворкин Л.И.,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Чудновський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И.М.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Путиактивации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наполнителей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композиционных строительных материалов//Известия вузов. Строительство и архитектура. 1987. №1. – С. 62-63.</w:t>
      </w:r>
    </w:p>
    <w:p w:rsidR="0034629E" w:rsidRPr="0034629E" w:rsidRDefault="0034629E" w:rsidP="0034629E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Киселев В.Ф., Крылов О.В. Адсорбционные процессы на поверхности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полупроводников и диэлектриков. М.: Наука. 1978. 255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629E" w:rsidRPr="0034629E" w:rsidRDefault="0034629E" w:rsidP="0034629E">
      <w:pPr>
        <w:numPr>
          <w:ilvl w:val="0"/>
          <w:numId w:val="1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Гладких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Ю.П.,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Ядыкина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В.В.,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Завражина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В.И. Влияние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УФ-облучения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химическую активность кварцевого песка и процессы формирования цементно-песчаного бетона//Коллоидный журнал. 1989.Т.1№3. – 445-450.</w:t>
      </w:r>
    </w:p>
    <w:p w:rsidR="0034629E" w:rsidRPr="0034629E" w:rsidRDefault="0034629E" w:rsidP="0034629E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Ядыкина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В.В., Лукаш Е.А. Изменение поверхностных свойств наполнителей и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цементных композитов под воздействием ультрафиолетового облучения./ Строительные материалы. 2007. №8 (632). –С. 49-50.</w:t>
      </w:r>
    </w:p>
    <w:p w:rsidR="0034629E" w:rsidRPr="0034629E" w:rsidRDefault="0034629E" w:rsidP="0034629E">
      <w:pPr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ДСТУ Б В.2.7-187:2009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Будівельні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іали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Цементи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визначення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міцності</w:t>
      </w:r>
      <w:proofErr w:type="spellEnd"/>
    </w:p>
    <w:p w:rsidR="0034629E" w:rsidRPr="0034629E" w:rsidRDefault="0034629E" w:rsidP="00346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згин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стиск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629E" w:rsidRPr="0034629E" w:rsidRDefault="0034629E" w:rsidP="00346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9E" w:rsidRPr="0034629E" w:rsidRDefault="0034629E" w:rsidP="003462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ТЕОРЕТИЧНІ ПЕРЕДУМОВИ ВПРОВАДЖЕННЯ СВЧ ВИПРОМІНЮВАНЬ АКТИВАЦІЇ ЗОЛИ-ВИНОС ДЛЯ БЕТОННИХ СУМІШЕЙ</w:t>
      </w:r>
    </w:p>
    <w:p w:rsidR="0034629E" w:rsidRPr="0034629E" w:rsidRDefault="0034629E" w:rsidP="003462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/Сердюк В.Р.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Сідлак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О.С./</w:t>
      </w:r>
    </w:p>
    <w:p w:rsidR="0034629E" w:rsidRPr="0034629E" w:rsidRDefault="0034629E" w:rsidP="003462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проведених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аналітичних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досл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іджень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розроблені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теоретичні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передумови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використання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СВЧ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випромінювань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активації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золи-винос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Наведено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випробувань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попередньо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активованої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золи-винесення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якості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добавки в цемент.</w:t>
      </w:r>
    </w:p>
    <w:p w:rsidR="0034629E" w:rsidRPr="0034629E" w:rsidRDefault="0034629E" w:rsidP="0034629E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Ключові</w:t>
      </w:r>
      <w:proofErr w:type="spellEnd"/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слова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СВЧ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випромінювання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будівництві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теоретичні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передумови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активації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золи-винос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629E" w:rsidRPr="0034629E" w:rsidRDefault="0034629E" w:rsidP="003462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629E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val="en-US" w:eastAsia="ru-RU"/>
        </w:rPr>
        <w:t>THEORETICAL BACKGROUND OF MICROWAVE RADIATION INTRODUCTION ACTIVATION FLY BROUGHT OUT FOR CONCRETE MIXTURES</w:t>
      </w:r>
    </w:p>
    <w:p w:rsidR="0034629E" w:rsidRPr="0034629E" w:rsidRDefault="0034629E" w:rsidP="003462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/V.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Serdyuk</w:t>
      </w:r>
      <w:proofErr w:type="spellEnd"/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 A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Sidlak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</w:t>
      </w:r>
    </w:p>
    <w:p w:rsidR="0034629E" w:rsidRPr="0034629E" w:rsidRDefault="0034629E" w:rsidP="003462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Based on </w:t>
      </w:r>
      <w:proofErr w:type="gram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 analyzes</w:t>
      </w:r>
      <w:proofErr w:type="gram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developed theoretical background TO USE microwave radiation to activate the ash-removal. Test results are </w:t>
      </w:r>
      <w:proofErr w:type="spellStart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preactivated</w:t>
      </w:r>
      <w:proofErr w:type="spellEnd"/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-ash removal as an additive in cement.</w:t>
      </w:r>
    </w:p>
    <w:p w:rsidR="00C821D1" w:rsidRPr="0034629E" w:rsidRDefault="0034629E" w:rsidP="0034629E">
      <w:pPr>
        <w:rPr>
          <w:lang w:val="en-US"/>
        </w:rPr>
      </w:pPr>
      <w:r w:rsidRPr="0034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Keywords</w:t>
      </w:r>
      <w:r w:rsidRPr="0034629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microwave radiation in the construction of the theoretical background of activation of ash-removal.</w:t>
      </w:r>
    </w:p>
    <w:sectPr w:rsidR="00C821D1" w:rsidRPr="0034629E" w:rsidSect="00C82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47AA"/>
    <w:multiLevelType w:val="multilevel"/>
    <w:tmpl w:val="0C6A80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33E68"/>
    <w:multiLevelType w:val="multilevel"/>
    <w:tmpl w:val="CDA82A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6376E7"/>
    <w:multiLevelType w:val="multilevel"/>
    <w:tmpl w:val="AC80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55F53"/>
    <w:multiLevelType w:val="multilevel"/>
    <w:tmpl w:val="5E8209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11F32"/>
    <w:multiLevelType w:val="multilevel"/>
    <w:tmpl w:val="153E6D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F65780"/>
    <w:multiLevelType w:val="multilevel"/>
    <w:tmpl w:val="2EE42A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462E2C"/>
    <w:multiLevelType w:val="multilevel"/>
    <w:tmpl w:val="2F2875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FD30AD"/>
    <w:multiLevelType w:val="multilevel"/>
    <w:tmpl w:val="13EEFA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6921CE"/>
    <w:multiLevelType w:val="multilevel"/>
    <w:tmpl w:val="0F4A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93530C"/>
    <w:multiLevelType w:val="multilevel"/>
    <w:tmpl w:val="828A49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9C6922"/>
    <w:multiLevelType w:val="multilevel"/>
    <w:tmpl w:val="F608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C921C9"/>
    <w:multiLevelType w:val="multilevel"/>
    <w:tmpl w:val="B59CBC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3B59A9"/>
    <w:multiLevelType w:val="multilevel"/>
    <w:tmpl w:val="EA04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A14E19"/>
    <w:multiLevelType w:val="multilevel"/>
    <w:tmpl w:val="9FA023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F54D4D"/>
    <w:multiLevelType w:val="multilevel"/>
    <w:tmpl w:val="8BFE2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A944E5"/>
    <w:multiLevelType w:val="multilevel"/>
    <w:tmpl w:val="85BA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B7368D"/>
    <w:multiLevelType w:val="multilevel"/>
    <w:tmpl w:val="F02697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295DF6"/>
    <w:multiLevelType w:val="multilevel"/>
    <w:tmpl w:val="E56040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9A4218"/>
    <w:multiLevelType w:val="multilevel"/>
    <w:tmpl w:val="8AA0B0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AD4419"/>
    <w:multiLevelType w:val="multilevel"/>
    <w:tmpl w:val="8524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12"/>
  </w:num>
  <w:num w:numId="4">
    <w:abstractNumId w:val="10"/>
  </w:num>
  <w:num w:numId="5">
    <w:abstractNumId w:val="2"/>
  </w:num>
  <w:num w:numId="6">
    <w:abstractNumId w:val="8"/>
  </w:num>
  <w:num w:numId="7">
    <w:abstractNumId w:val="14"/>
  </w:num>
  <w:num w:numId="8">
    <w:abstractNumId w:val="16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11"/>
    <w:lvlOverride w:ilvl="0">
      <w:lvl w:ilvl="0">
        <w:numFmt w:val="decimal"/>
        <w:lvlText w:val="%1."/>
        <w:lvlJc w:val="left"/>
      </w:lvl>
    </w:lvlOverride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17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4"/>
    <w:lvlOverride w:ilvl="0">
      <w:lvl w:ilvl="0">
        <w:numFmt w:val="decimal"/>
        <w:lvlText w:val="%1."/>
        <w:lvlJc w:val="left"/>
      </w:lvl>
    </w:lvlOverride>
  </w:num>
  <w:num w:numId="20">
    <w:abstractNumId w:val="18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629E"/>
    <w:rsid w:val="0034629E"/>
    <w:rsid w:val="00C8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1D1"/>
  </w:style>
  <w:style w:type="paragraph" w:styleId="1">
    <w:name w:val="heading 1"/>
    <w:basedOn w:val="a"/>
    <w:link w:val="10"/>
    <w:uiPriority w:val="9"/>
    <w:qFormat/>
    <w:rsid w:val="003462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462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2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62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46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629E"/>
    <w:rPr>
      <w:color w:val="0000FF"/>
      <w:u w:val="single"/>
    </w:rPr>
  </w:style>
  <w:style w:type="character" w:customStyle="1" w:styleId="apple-tab-span">
    <w:name w:val="apple-tab-span"/>
    <w:basedOn w:val="a0"/>
    <w:rsid w:val="0034629E"/>
  </w:style>
  <w:style w:type="paragraph" w:styleId="a5">
    <w:name w:val="Balloon Text"/>
    <w:basedOn w:val="a"/>
    <w:link w:val="a6"/>
    <w:uiPriority w:val="99"/>
    <w:semiHidden/>
    <w:unhideWhenUsed/>
    <w:rsid w:val="0034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62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7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28657">
          <w:marLeft w:val="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modser@i.u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ien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2587</Words>
  <Characters>14751</Characters>
  <Application>Microsoft Office Word</Application>
  <DocSecurity>0</DocSecurity>
  <Lines>122</Lines>
  <Paragraphs>34</Paragraphs>
  <ScaleCrop>false</ScaleCrop>
  <Company>Grizli777</Company>
  <LinksUpToDate>false</LinksUpToDate>
  <CharactersWithSpaces>17304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</cp:revision>
  <dcterms:created xsi:type="dcterms:W3CDTF">2016-02-02T09:34:00Z</dcterms:created>
  <dcterms:modified xsi:type="dcterms:W3CDTF">2016-02-02T09:35:00Z</dcterms:modified>
</cp:coreProperties>
</file>