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31" w:rsidRPr="00D70696" w:rsidRDefault="00E66631" w:rsidP="00430A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6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OPTICAL ELECTRONIC SYSTEM FOR ANALYSIS OF </w:t>
      </w:r>
      <w:r w:rsidR="00096BAC" w:rsidRPr="00D70696">
        <w:rPr>
          <w:rFonts w:ascii="Times New Roman" w:hAnsi="Times New Roman" w:cs="Times New Roman"/>
          <w:b/>
          <w:sz w:val="28"/>
          <w:szCs w:val="28"/>
          <w:lang w:val="uk-UA"/>
        </w:rPr>
        <w:t>BLOOD PLASMA FILMS POLARIZATION MAPS</w:t>
      </w:r>
    </w:p>
    <w:p w:rsidR="00096BAC" w:rsidRPr="00D70696" w:rsidRDefault="00096BAC" w:rsidP="00430A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66631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en-US"/>
        </w:rPr>
        <w:t xml:space="preserve">O. </w:t>
      </w:r>
      <w:proofErr w:type="spellStart"/>
      <w:r w:rsidRPr="00D70696">
        <w:rPr>
          <w:rFonts w:ascii="Times New Roman" w:hAnsi="Times New Roman" w:cs="Times New Roman"/>
          <w:b/>
          <w:sz w:val="18"/>
          <w:szCs w:val="18"/>
          <w:lang w:val="en-US"/>
        </w:rPr>
        <w:t>Karas</w:t>
      </w:r>
      <w:proofErr w:type="spellEnd"/>
    </w:p>
    <w:p w:rsidR="00096BAC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Vinnytsia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en-US"/>
        </w:rPr>
        <w:t xml:space="preserve"> National Technical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Univercity</w:t>
      </w:r>
      <w:proofErr w:type="spellEnd"/>
    </w:p>
    <w:p w:rsidR="00AB0CFD" w:rsidRPr="00D70696" w:rsidRDefault="00AB0CFD" w:rsidP="00430A12">
      <w:pPr>
        <w:spacing w:after="0" w:line="360" w:lineRule="auto"/>
        <w:jc w:val="right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en-US"/>
        </w:rPr>
        <w:t>S. Pavlov</w:t>
      </w:r>
    </w:p>
    <w:p w:rsidR="00AB0CFD" w:rsidRDefault="00AB0CFD" w:rsidP="00AB0CFD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Vinnytsia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en-US"/>
        </w:rPr>
        <w:t xml:space="preserve"> National Technical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Univercity</w:t>
      </w:r>
      <w:proofErr w:type="spellEnd"/>
    </w:p>
    <w:p w:rsidR="00AF3DB5" w:rsidRDefault="00AF3DB5" w:rsidP="00AB0CFD">
      <w:pPr>
        <w:spacing w:after="0" w:line="360" w:lineRule="auto"/>
        <w:jc w:val="right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F3DB5">
        <w:rPr>
          <w:rFonts w:ascii="Times New Roman" w:hAnsi="Times New Roman" w:cs="Times New Roman"/>
          <w:b/>
          <w:sz w:val="18"/>
          <w:szCs w:val="18"/>
          <w:lang w:val="en-US"/>
        </w:rPr>
        <w:t xml:space="preserve">N. </w:t>
      </w:r>
      <w:proofErr w:type="spellStart"/>
      <w:r w:rsidRPr="00AF3DB5">
        <w:rPr>
          <w:rFonts w:ascii="Times New Roman" w:hAnsi="Times New Roman" w:cs="Times New Roman"/>
          <w:b/>
          <w:sz w:val="18"/>
          <w:szCs w:val="18"/>
          <w:lang w:val="en-US"/>
        </w:rPr>
        <w:t>Zabolotna</w:t>
      </w:r>
      <w:proofErr w:type="spellEnd"/>
    </w:p>
    <w:p w:rsidR="00AF3DB5" w:rsidRDefault="00AF3DB5" w:rsidP="00AF3DB5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Vinnytsia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en-US"/>
        </w:rPr>
        <w:t xml:space="preserve"> National Technical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Univercity</w:t>
      </w:r>
      <w:proofErr w:type="spellEnd"/>
    </w:p>
    <w:p w:rsidR="00096BAC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r w:rsidRPr="00D70696">
        <w:rPr>
          <w:rFonts w:ascii="Times New Roman" w:hAnsi="Times New Roman" w:cs="Times New Roman"/>
          <w:sz w:val="18"/>
          <w:szCs w:val="18"/>
          <w:lang w:val="en-US"/>
        </w:rPr>
        <w:t>Ukraine</w:t>
      </w:r>
    </w:p>
    <w:p w:rsidR="00096BAC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Khmel'nyts'ke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en-US"/>
        </w:rPr>
        <w:t xml:space="preserve"> Hwy, 95,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Vinnytsia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en-US"/>
        </w:rPr>
        <w:t>, 21021</w:t>
      </w:r>
    </w:p>
    <w:p w:rsidR="00096BAC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680721" w:rsidRPr="00D70696" w:rsidRDefault="00E66631" w:rsidP="00430A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696">
        <w:rPr>
          <w:rFonts w:ascii="Times New Roman" w:hAnsi="Times New Roman" w:cs="Times New Roman"/>
          <w:b/>
          <w:sz w:val="28"/>
          <w:szCs w:val="28"/>
          <w:lang w:val="uk-UA"/>
        </w:rPr>
        <w:t>ОПТИКОЕЛЕКТРОННА СИСТЕМА ДЛЯ АНАЛІЗУ ПОЛЯРИЗАЦІЙНИХ МАП ПЛІВОК ПЛАЗМИ КРОВІ</w:t>
      </w:r>
    </w:p>
    <w:p w:rsidR="00096BAC" w:rsidRPr="00D70696" w:rsidRDefault="00096BAC" w:rsidP="00430A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BAC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>О. Карась</w:t>
      </w:r>
    </w:p>
    <w:p w:rsidR="00096BAC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Вінницький національний технічний університет</w:t>
      </w:r>
    </w:p>
    <w:p w:rsidR="00AB0CFD" w:rsidRPr="00D70696" w:rsidRDefault="00AB0CFD" w:rsidP="00430A12">
      <w:pPr>
        <w:spacing w:after="0" w:line="360" w:lineRule="auto"/>
        <w:jc w:val="right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>С. Павлов</w:t>
      </w:r>
    </w:p>
    <w:p w:rsidR="00AB0CFD" w:rsidRDefault="00AB0CFD" w:rsidP="00AB0CFD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Вінницький національний технічний університет</w:t>
      </w:r>
    </w:p>
    <w:p w:rsidR="00AF3DB5" w:rsidRPr="00AF3DB5" w:rsidRDefault="00AF3DB5" w:rsidP="00AB0CFD">
      <w:pPr>
        <w:spacing w:after="0" w:line="360" w:lineRule="auto"/>
        <w:jc w:val="right"/>
        <w:rPr>
          <w:rFonts w:ascii="Times New Roman" w:hAnsi="Times New Roman" w:cs="Times New Roman"/>
          <w:b/>
          <w:sz w:val="18"/>
          <w:szCs w:val="18"/>
          <w:lang w:val="uk-UA"/>
        </w:rPr>
      </w:pPr>
      <w:bookmarkStart w:id="0" w:name="_GoBack"/>
      <w:r w:rsidRPr="00AF3DB5">
        <w:rPr>
          <w:rFonts w:ascii="Times New Roman" w:hAnsi="Times New Roman" w:cs="Times New Roman"/>
          <w:b/>
          <w:sz w:val="18"/>
          <w:szCs w:val="18"/>
          <w:lang w:val="uk-UA"/>
        </w:rPr>
        <w:t>Н. Заболотна</w:t>
      </w:r>
    </w:p>
    <w:bookmarkEnd w:id="0"/>
    <w:p w:rsidR="00AF3DB5" w:rsidRDefault="00AF3DB5" w:rsidP="00AF3DB5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Вінницький національний технічний університет</w:t>
      </w:r>
    </w:p>
    <w:p w:rsidR="00096BAC" w:rsidRPr="00D70696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Україна</w:t>
      </w:r>
    </w:p>
    <w:p w:rsidR="00096BAC" w:rsidRPr="00AF3DB5" w:rsidRDefault="00096BAC" w:rsidP="00430A12">
      <w:pPr>
        <w:spacing w:after="0" w:line="360" w:lineRule="auto"/>
        <w:jc w:val="right"/>
        <w:rPr>
          <w:rFonts w:ascii="Times New Roman" w:hAnsi="Times New Roman" w:cs="Times New Roman"/>
          <w:sz w:val="18"/>
          <w:szCs w:val="18"/>
          <w:lang w:val="uk-UA"/>
        </w:rPr>
      </w:pPr>
      <w:r w:rsidRPr="00AF3DB5">
        <w:rPr>
          <w:rFonts w:ascii="Times New Roman" w:hAnsi="Times New Roman" w:cs="Times New Roman"/>
          <w:sz w:val="18"/>
          <w:szCs w:val="18"/>
          <w:lang w:val="uk-UA"/>
        </w:rPr>
        <w:t>Хмельницьке шосе 95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, </w:t>
      </w:r>
      <w:r w:rsidRPr="00AF3DB5">
        <w:rPr>
          <w:rFonts w:ascii="Times New Roman" w:hAnsi="Times New Roman" w:cs="Times New Roman"/>
          <w:sz w:val="18"/>
          <w:szCs w:val="18"/>
          <w:lang w:val="uk-UA"/>
        </w:rPr>
        <w:t>Вінниця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,</w:t>
      </w:r>
      <w:r w:rsidRPr="00AF3DB5">
        <w:rPr>
          <w:rFonts w:ascii="Times New Roman" w:hAnsi="Times New Roman" w:cs="Times New Roman"/>
          <w:sz w:val="18"/>
          <w:szCs w:val="18"/>
          <w:lang w:val="uk-UA"/>
        </w:rPr>
        <w:t xml:space="preserve"> 21021</w:t>
      </w:r>
    </w:p>
    <w:p w:rsidR="00096BAC" w:rsidRPr="00AF3DB5" w:rsidRDefault="00096BAC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BAC" w:rsidRPr="00AF3DB5" w:rsidRDefault="00096BAC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en-US"/>
        </w:rPr>
        <w:t>Abstract</w:t>
      </w:r>
    </w:p>
    <w:p w:rsidR="00AA262A" w:rsidRPr="00D70696" w:rsidRDefault="00AA262A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D70696">
        <w:rPr>
          <w:rFonts w:ascii="Times New Roman" w:hAnsi="Times New Roman" w:cs="Times New Roman"/>
          <w:sz w:val="18"/>
          <w:szCs w:val="18"/>
          <w:lang w:val="en-US"/>
        </w:rPr>
        <w:t xml:space="preserve">The optoelectronic system for analysis of blood plasma films polarization maps used for diagnosing breast cancer is considered. The architecture of the Jones-matrix mapping system was considered, as well as statistical and correlation evaluation of the elements of the Jones matrix of plasma films of patients with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en-US"/>
        </w:rPr>
        <w:t>nosologies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en-US"/>
        </w:rPr>
        <w:t xml:space="preserve"> "Norm" and "Pathology". A decision support system based on neural network technologies </w:t>
      </w:r>
      <w:proofErr w:type="gramStart"/>
      <w:r w:rsidRPr="00D70696">
        <w:rPr>
          <w:rFonts w:ascii="Times New Roman" w:hAnsi="Times New Roman" w:cs="Times New Roman"/>
          <w:sz w:val="18"/>
          <w:szCs w:val="18"/>
          <w:lang w:val="en-US"/>
        </w:rPr>
        <w:t>was used</w:t>
      </w:r>
      <w:proofErr w:type="gramEnd"/>
      <w:r w:rsidRPr="00D70696">
        <w:rPr>
          <w:rFonts w:ascii="Times New Roman" w:hAnsi="Times New Roman" w:cs="Times New Roman"/>
          <w:sz w:val="18"/>
          <w:szCs w:val="18"/>
          <w:lang w:val="en-US"/>
        </w:rPr>
        <w:t xml:space="preserve"> to differentiate patients' conditions.</w:t>
      </w:r>
    </w:p>
    <w:p w:rsidR="00AA262A" w:rsidRPr="00D70696" w:rsidRDefault="00AA262A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>Анотація</w:t>
      </w:r>
    </w:p>
    <w:p w:rsidR="00096BAC" w:rsidRPr="00D70696" w:rsidRDefault="00905E6F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В роботі розглянуто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оптикоелектронну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систему для аналізу поляризаційних мап плівок плазми крові, що використовується для діагностування ракових патологій молочних залоз. Було розглянуто архітектуру системи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джонс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-матричного картографування, а також проведено статистичне та кореляційн</w:t>
      </w:r>
      <w:r w:rsidR="00AA262A" w:rsidRPr="00D70696">
        <w:rPr>
          <w:rFonts w:ascii="Times New Roman" w:hAnsi="Times New Roman" w:cs="Times New Roman"/>
          <w:sz w:val="18"/>
          <w:szCs w:val="18"/>
          <w:lang w:val="uk-UA"/>
        </w:rPr>
        <w:t>е оцінювання елементів матриці Д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жонса плівок плазми крові пацієнтів з нозологіями </w:t>
      </w:r>
      <w:r w:rsidRPr="00D70696">
        <w:rPr>
          <w:rFonts w:ascii="Times New Roman" w:hAnsi="Times New Roman" w:cs="Times New Roman"/>
          <w:sz w:val="18"/>
          <w:szCs w:val="18"/>
        </w:rPr>
        <w:t>“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Норма</w:t>
      </w:r>
      <w:r w:rsidRPr="00D70696">
        <w:rPr>
          <w:rFonts w:ascii="Times New Roman" w:hAnsi="Times New Roman" w:cs="Times New Roman"/>
          <w:sz w:val="18"/>
          <w:szCs w:val="18"/>
        </w:rPr>
        <w:t>”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та </w:t>
      </w:r>
      <w:r w:rsidRPr="00D70696">
        <w:rPr>
          <w:rFonts w:ascii="Times New Roman" w:hAnsi="Times New Roman" w:cs="Times New Roman"/>
          <w:sz w:val="18"/>
          <w:szCs w:val="18"/>
        </w:rPr>
        <w:t>“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Патологія</w:t>
      </w:r>
      <w:r w:rsidRPr="00D70696">
        <w:rPr>
          <w:rFonts w:ascii="Times New Roman" w:hAnsi="Times New Roman" w:cs="Times New Roman"/>
          <w:sz w:val="18"/>
          <w:szCs w:val="18"/>
        </w:rPr>
        <w:t>”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. Для проведення диференціацій станів пацієнтів була застосована система підтримки прийняття рішень </w:t>
      </w:r>
      <w:r w:rsidR="00AA262A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на основі </w:t>
      </w:r>
      <w:proofErr w:type="spellStart"/>
      <w:r w:rsidR="00AA262A"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нейромережевих</w:t>
      </w:r>
      <w:proofErr w:type="spellEnd"/>
      <w:r w:rsidR="00AA262A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технологій.</w:t>
      </w:r>
    </w:p>
    <w:p w:rsidR="006255D4" w:rsidRPr="00D70696" w:rsidRDefault="006255D4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  <w:lang w:val="uk-UA"/>
        </w:rPr>
      </w:pPr>
      <w:proofErr w:type="spellStart"/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>Keywords</w:t>
      </w:r>
      <w:proofErr w:type="spellEnd"/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 xml:space="preserve">: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polarimetry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cancer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neural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network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Jones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matrix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statistical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analysis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.</w:t>
      </w:r>
    </w:p>
    <w:p w:rsidR="006255D4" w:rsidRPr="00D70696" w:rsidRDefault="006255D4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 xml:space="preserve">Ключові слова: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поляриметрія, рак,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нейромережа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, матриця Джонса, статистичний аналіз.</w:t>
      </w:r>
    </w:p>
    <w:p w:rsidR="006255D4" w:rsidRPr="00D70696" w:rsidRDefault="006255D4" w:rsidP="00430A12">
      <w:pPr>
        <w:spacing w:after="0" w:line="360" w:lineRule="auto"/>
        <w:ind w:firstLine="709"/>
        <w:rPr>
          <w:rFonts w:ascii="Times New Roman" w:hAnsi="Times New Roman" w:cs="Times New Roman"/>
          <w:sz w:val="18"/>
          <w:szCs w:val="18"/>
          <w:lang w:val="uk-UA"/>
        </w:rPr>
      </w:pPr>
    </w:p>
    <w:p w:rsidR="00905E6F" w:rsidRPr="00D70696" w:rsidRDefault="006255D4" w:rsidP="00430A12">
      <w:pPr>
        <w:spacing w:after="0" w:line="360" w:lineRule="auto"/>
        <w:ind w:firstLine="709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>Вступ</w:t>
      </w:r>
    </w:p>
    <w:p w:rsidR="00905E6F" w:rsidRPr="00D70696" w:rsidRDefault="004E75FE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Методи</w:t>
      </w:r>
      <w:r w:rsidR="00D3439E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сучасної поляриметрії біологічних шарів досить широко застосовуються у сучасно</w:t>
      </w:r>
      <w:r w:rsidR="000C1861" w:rsidRPr="00D70696">
        <w:rPr>
          <w:rFonts w:ascii="Times New Roman" w:hAnsi="Times New Roman" w:cs="Times New Roman"/>
          <w:sz w:val="18"/>
          <w:szCs w:val="18"/>
          <w:lang w:val="uk-UA"/>
        </w:rPr>
        <w:t>му медичному діагностуванні та у</w:t>
      </w:r>
      <w:r w:rsidR="00D3439E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поєднанні із сучасними методами обробки та </w:t>
      </w:r>
      <w:r w:rsidR="000C1861" w:rsidRPr="00D70696">
        <w:rPr>
          <w:rFonts w:ascii="Times New Roman" w:hAnsi="Times New Roman" w:cs="Times New Roman"/>
          <w:sz w:val="18"/>
          <w:szCs w:val="18"/>
          <w:lang w:val="uk-UA"/>
        </w:rPr>
        <w:t>аналізу</w:t>
      </w:r>
      <w:r w:rsidR="00D3439E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є одним із перспективних напрямків розвитку </w:t>
      </w:r>
      <w:proofErr w:type="spellStart"/>
      <w:r w:rsidR="00D3439E" w:rsidRPr="00D70696">
        <w:rPr>
          <w:rFonts w:ascii="Times New Roman" w:hAnsi="Times New Roman" w:cs="Times New Roman"/>
          <w:sz w:val="18"/>
          <w:szCs w:val="18"/>
          <w:lang w:val="uk-UA"/>
        </w:rPr>
        <w:t>оптикоелектронних</w:t>
      </w:r>
      <w:proofErr w:type="spellEnd"/>
      <w:r w:rsidR="00D3439E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інформаційних технологій </w:t>
      </w:r>
      <w:r w:rsidR="000C1861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для вимірювання </w:t>
      </w:r>
      <w:r w:rsidR="00D3439E" w:rsidRPr="00D70696">
        <w:rPr>
          <w:rFonts w:ascii="Times New Roman" w:hAnsi="Times New Roman" w:cs="Times New Roman"/>
          <w:sz w:val="18"/>
          <w:szCs w:val="18"/>
          <w:lang w:val="uk-UA"/>
        </w:rPr>
        <w:t>анізотропних характеристик біологічних об’єктів</w:t>
      </w:r>
      <w:r w:rsidR="000C1861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(1-3)</w:t>
      </w:r>
      <w:r w:rsidR="00D3439E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. </w:t>
      </w:r>
    </w:p>
    <w:p w:rsidR="00E016B5" w:rsidRPr="00D70696" w:rsidRDefault="000C1861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lastRenderedPageBreak/>
        <w:t>Згідно з даними Центра Медичної статистики МОЗ України за 2019 рік в Україні було виявлено понад 136 тисяч хворих на злоякісні новоутворення різної важкості та типів. Тому раннє діагностування патологічних змін є першочерговою задачею для запобігання важких ступенів хвороби. З них рак молочної залози</w:t>
      </w:r>
      <w:r w:rsidR="00430A12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, що є найчастішою формою раку у світі,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понад 14 тисяч випадків</w:t>
      </w:r>
      <w:r w:rsidR="00D70696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(4).</w:t>
      </w:r>
      <w:r w:rsidR="00430A12" w:rsidRPr="00D70696">
        <w:rPr>
          <w:rFonts w:ascii="Times New Roman" w:hAnsi="Times New Roman" w:cs="Times New Roman"/>
          <w:color w:val="FF0000"/>
          <w:sz w:val="18"/>
          <w:szCs w:val="18"/>
          <w:lang w:val="uk-UA"/>
        </w:rPr>
        <w:t xml:space="preserve"> </w:t>
      </w:r>
      <w:r w:rsidR="0067583A" w:rsidRPr="00D70696">
        <w:rPr>
          <w:rFonts w:ascii="Times New Roman" w:hAnsi="Times New Roman" w:cs="Times New Roman"/>
          <w:sz w:val="18"/>
          <w:szCs w:val="18"/>
          <w:lang w:val="uk-UA"/>
        </w:rPr>
        <w:t>Таким чином, актуальність дослідження зумовлена необхідністю нових методів в системах лазерної поляриметрії плівок плазми крові для оцінювання патологічних змін у молочних залозах, що дозволить досягти високого рівня  достовірності діагностування.</w:t>
      </w:r>
    </w:p>
    <w:p w:rsidR="00E13664" w:rsidRPr="00D70696" w:rsidRDefault="00E13664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0C1861" w:rsidRPr="00D70696" w:rsidRDefault="00430A12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>Основна частина</w:t>
      </w:r>
    </w:p>
    <w:p w:rsidR="00430A12" w:rsidRPr="00D70696" w:rsidRDefault="00430A12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Для проведення діагностування патологічного стану молочної залози у людини забирають зразок крові та за допомогою центрифуги виділяють її плазму. За допомогою пристрою проводиться лазерне опромінення дослідного зразку плазми крові поляризованим когерентним паралельним пучком напівпровідникового лазера з довжиною хвилі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sym w:font="Symbol" w:char="F06C"/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=0.64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мкм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1, який формується коліматором 2 і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чвертьхвильовою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пластинкою 4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1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. За допомогою обертання поляризатора 5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1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на кути «0°», «90°» формується лінійно поляризований пучок з азимутом α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0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=0,90°, яким зондують анізотропний шар біологічного об’єкту 6, обертаючи вісь пропускання Θ аналізатора 5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2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на кути «0°», «90°». Повороти на відповідні кути здійснюють за допомогою блоку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мікроконтролерного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керування 11, що керує кроковими серводвигунами 13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 xml:space="preserve">1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– 13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5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, які, в свою чергу, керуються за допомогою драйверів серводвигунів 12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1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– 12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5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, значення кута повороту контролюється позиційними датчиками 14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1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– 14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5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. Зображення анізотропного шару біологічного об’єкта 6 проектують за допомогою проекційного блоку 7 в площину світлочутливої площадки (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mxn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=640х480) цифрової CCD-камери 9, а потім передають в комп’ютер 10, при цьому вимірюють масиви рівнів інтенсивності мапи плівки плазми крові для кожного окремого пікселя (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m×n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)</w:t>
      </w:r>
      <w:r w:rsidR="00CB378F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. За допомогою </w:t>
      </w:r>
      <w:proofErr w:type="spellStart"/>
      <w:r w:rsidR="00CB378F" w:rsidRPr="00D70696">
        <w:rPr>
          <w:rFonts w:ascii="Times New Roman" w:hAnsi="Times New Roman" w:cs="Times New Roman"/>
          <w:sz w:val="18"/>
          <w:szCs w:val="18"/>
          <w:lang w:val="uk-UA"/>
        </w:rPr>
        <w:t>спецблока</w:t>
      </w:r>
      <w:proofErr w:type="spellEnd"/>
      <w:r w:rsidR="00CB378F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системи підтримки прийняття рішень на основі </w:t>
      </w:r>
      <w:proofErr w:type="spellStart"/>
      <w:r w:rsidR="00CB378F"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нейромережевих</w:t>
      </w:r>
      <w:proofErr w:type="spellEnd"/>
      <w:r w:rsidR="00CB378F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технологій проводиться диференціація нозологій</w:t>
      </w:r>
      <w:r w:rsidR="00AB0CFD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(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5</w:t>
      </w:r>
      <w:r w:rsidR="00AB0CFD" w:rsidRPr="00D70696">
        <w:rPr>
          <w:rFonts w:ascii="Times New Roman" w:hAnsi="Times New Roman" w:cs="Times New Roman"/>
          <w:sz w:val="18"/>
          <w:szCs w:val="18"/>
          <w:lang w:val="uk-UA"/>
        </w:rPr>
        <w:t>)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.</w:t>
      </w:r>
    </w:p>
    <w:p w:rsidR="00430A12" w:rsidRPr="00D70696" w:rsidRDefault="00430A12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Архітектура даного пристрою представлена на рисунку 1.</w:t>
      </w:r>
    </w:p>
    <w:p w:rsidR="00430A12" w:rsidRPr="00D70696" w:rsidRDefault="00430A12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430A12" w:rsidRPr="00D70696" w:rsidRDefault="00430A12" w:rsidP="00430A1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70696"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 wp14:anchorId="61487C6B" wp14:editId="34D9F0A9">
            <wp:extent cx="5952740" cy="40157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557" cy="407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A12" w:rsidRPr="00D70696" w:rsidRDefault="00430A12" w:rsidP="00430A12">
      <w:pPr>
        <w:tabs>
          <w:tab w:val="left" w:pos="0"/>
        </w:tabs>
        <w:contextualSpacing/>
        <w:jc w:val="center"/>
        <w:rPr>
          <w:rFonts w:ascii="Times New Roman" w:eastAsia="Calibri" w:hAnsi="Times New Roman" w:cs="Times New Roman"/>
          <w:sz w:val="18"/>
          <w:szCs w:val="18"/>
          <w:lang w:val="uk-UA"/>
        </w:rPr>
      </w:pPr>
      <w:r w:rsidRPr="00D70696">
        <w:rPr>
          <w:rFonts w:ascii="Times New Roman" w:eastAsia="Calibri" w:hAnsi="Times New Roman" w:cs="Times New Roman"/>
          <w:sz w:val="18"/>
          <w:szCs w:val="18"/>
          <w:lang w:val="uk-UA"/>
        </w:rPr>
        <w:t xml:space="preserve">Рисунок 1 – Архітектура системи двовимірного </w:t>
      </w:r>
      <w:proofErr w:type="spellStart"/>
      <w:r w:rsidRPr="00D70696">
        <w:rPr>
          <w:rFonts w:ascii="Times New Roman" w:eastAsia="Calibri" w:hAnsi="Times New Roman" w:cs="Times New Roman"/>
          <w:sz w:val="18"/>
          <w:szCs w:val="18"/>
          <w:lang w:val="uk-UA"/>
        </w:rPr>
        <w:t>джонс</w:t>
      </w:r>
      <w:proofErr w:type="spellEnd"/>
      <w:r w:rsidRPr="00D70696">
        <w:rPr>
          <w:rFonts w:ascii="Times New Roman" w:eastAsia="Calibri" w:hAnsi="Times New Roman" w:cs="Times New Roman"/>
          <w:sz w:val="18"/>
          <w:szCs w:val="18"/>
          <w:lang w:val="uk-UA"/>
        </w:rPr>
        <w:t>-матричного картографування зразків плазми крові людини(6)</w:t>
      </w:r>
    </w:p>
    <w:p w:rsidR="00430A12" w:rsidRPr="00D70696" w:rsidRDefault="00430A12" w:rsidP="00430A12">
      <w:pPr>
        <w:tabs>
          <w:tab w:val="left" w:pos="0"/>
        </w:tabs>
        <w:contextualSpacing/>
        <w:jc w:val="center"/>
        <w:rPr>
          <w:rFonts w:ascii="Times New Roman" w:eastAsia="Calibri" w:hAnsi="Times New Roman" w:cs="Times New Roman"/>
          <w:sz w:val="18"/>
          <w:szCs w:val="18"/>
          <w:lang w:val="uk-UA"/>
        </w:rPr>
      </w:pPr>
    </w:p>
    <w:p w:rsidR="00430A12" w:rsidRPr="00D70696" w:rsidRDefault="00430A12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Елементи матриці Джонса плівок плазми крові розраховуються за допомогою відомих алгоритмів, що </w:t>
      </w:r>
      <w:r w:rsidR="0067583A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детально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представлені на рисунку 2 .</w:t>
      </w:r>
    </w:p>
    <w:p w:rsidR="0067583A" w:rsidRPr="00D70696" w:rsidRDefault="0067583A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lastRenderedPageBreak/>
        <w:t>Метод матриць Джонса ефективно може застосовуватись  для досліджень в прозорих середовищах, де майже відсутня втрата поляризації. При цьому матриці Джонса однорідних середовищ, до яких відносяться тонкі плівки плазми крові, не містять надлишкової інформації – чотири комплексних елемента матриці містять вісім параметрів, жоден із яких не є функцією іншого.</w:t>
      </w:r>
    </w:p>
    <w:p w:rsidR="0067583A" w:rsidRPr="00D70696" w:rsidRDefault="0067583A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На відміну від стокс- та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мюллер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-поляриметрії гістологічних зрізів молочних залоз дана методика не є травматичною, що дозволяє застосовувати її на ранніх стадіях захворювання.</w:t>
      </w:r>
    </w:p>
    <w:p w:rsidR="00330EF1" w:rsidRPr="00D70696" w:rsidRDefault="00330EF1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430A12" w:rsidRPr="00D70696" w:rsidRDefault="00430A12" w:rsidP="00430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58563520" wp14:editId="6B5A786F">
            <wp:extent cx="5278186" cy="3343910"/>
            <wp:effectExtent l="0" t="0" r="0" b="8890"/>
            <wp:docPr id="11372" name="Picture 10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2" name="Picture 108"/>
                    <pic:cNvPicPr>
                      <a:picLocks noGrp="1"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239" cy="335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30A12" w:rsidRPr="00D70696" w:rsidRDefault="0067583A" w:rsidP="00430A1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Рисун</w:t>
      </w:r>
      <w:r w:rsidR="00430A12" w:rsidRPr="00D70696">
        <w:rPr>
          <w:rFonts w:ascii="Times New Roman" w:hAnsi="Times New Roman" w:cs="Times New Roman"/>
          <w:sz w:val="18"/>
          <w:szCs w:val="18"/>
          <w:lang w:val="uk-UA"/>
        </w:rPr>
        <w:t>ок 2 – Алгоритм обрахунку елементів матриці Джонса</w:t>
      </w:r>
    </w:p>
    <w:p w:rsidR="0067583A" w:rsidRPr="00D70696" w:rsidRDefault="0067583A" w:rsidP="00430A1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p w:rsidR="00AB0CFD" w:rsidRPr="00D70696" w:rsidRDefault="00AB0CFD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Експериментальні дослідження методу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джонс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-матричного картографування проводились з використання вибірок двох груп пацієнтів з нозологіями </w:t>
      </w:r>
      <w:r w:rsidRPr="00D70696">
        <w:rPr>
          <w:rFonts w:ascii="Times New Roman" w:hAnsi="Times New Roman" w:cs="Times New Roman"/>
          <w:sz w:val="18"/>
          <w:szCs w:val="18"/>
        </w:rPr>
        <w:t>“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норма</w:t>
      </w:r>
      <w:r w:rsidRPr="00D70696">
        <w:rPr>
          <w:rFonts w:ascii="Times New Roman" w:hAnsi="Times New Roman" w:cs="Times New Roman"/>
          <w:sz w:val="18"/>
          <w:szCs w:val="18"/>
        </w:rPr>
        <w:t>”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та </w:t>
      </w:r>
      <w:r w:rsidRPr="00D70696">
        <w:rPr>
          <w:rFonts w:ascii="Times New Roman" w:hAnsi="Times New Roman" w:cs="Times New Roman"/>
          <w:sz w:val="18"/>
          <w:szCs w:val="18"/>
        </w:rPr>
        <w:t>“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патологія</w:t>
      </w:r>
      <w:r w:rsidRPr="00D70696">
        <w:rPr>
          <w:rFonts w:ascii="Times New Roman" w:hAnsi="Times New Roman" w:cs="Times New Roman"/>
          <w:sz w:val="18"/>
          <w:szCs w:val="18"/>
        </w:rPr>
        <w:t xml:space="preserve">”.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Приклади отриманих поляризаційних мап плівок плазми крові наведені на рисунку 3.</w:t>
      </w:r>
    </w:p>
    <w:p w:rsidR="00AB0CFD" w:rsidRPr="00D70696" w:rsidRDefault="00AB0CFD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AB0CFD" w:rsidRPr="00D70696" w:rsidRDefault="00AB0CFD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696">
        <w:rPr>
          <w:rFonts w:ascii="Times New Roman" w:hAnsi="Times New Roman" w:cs="Times New Roman"/>
          <w:sz w:val="28"/>
          <w:szCs w:val="28"/>
        </w:rPr>
        <w:object w:dxaOrig="5700" w:dyaOrig="3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2pt;height:118.8pt" o:ole="">
            <v:imagedata r:id="rId8" o:title=""/>
          </v:shape>
          <o:OLEObject Type="Embed" ProgID="PBrush" ShapeID="_x0000_i1025" DrawAspect="Content" ObjectID="_1675419891" r:id="rId9"/>
        </w:object>
      </w:r>
      <w:r w:rsidRPr="00D70696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70696">
        <w:rPr>
          <w:rFonts w:ascii="Times New Roman" w:hAnsi="Times New Roman" w:cs="Times New Roman"/>
          <w:sz w:val="28"/>
          <w:szCs w:val="28"/>
        </w:rPr>
        <w:object w:dxaOrig="4740" w:dyaOrig="2895">
          <v:shape id="_x0000_i1026" type="#_x0000_t75" style="width:192.6pt;height:117.6pt" o:ole="">
            <v:imagedata r:id="rId10" o:title=""/>
          </v:shape>
          <o:OLEObject Type="Embed" ProgID="PBrush" ShapeID="_x0000_i1026" DrawAspect="Content" ObjectID="_1675419892" r:id="rId11"/>
        </w:object>
      </w:r>
    </w:p>
    <w:p w:rsidR="00AB0CFD" w:rsidRPr="00D70696" w:rsidRDefault="00AB0CFD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</w:rPr>
        <w:tab/>
      </w:r>
      <w:r w:rsidRPr="00D70696">
        <w:rPr>
          <w:rFonts w:ascii="Times New Roman" w:hAnsi="Times New Roman" w:cs="Times New Roman"/>
          <w:sz w:val="18"/>
          <w:szCs w:val="18"/>
        </w:rPr>
        <w:tab/>
      </w:r>
      <w:r w:rsidR="00330EF1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      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а)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ab/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ab/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ab/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ab/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ab/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ab/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ab/>
        <w:t>б)</w:t>
      </w:r>
    </w:p>
    <w:p w:rsidR="00AB0CFD" w:rsidRPr="00D70696" w:rsidRDefault="00AB0CFD" w:rsidP="00AB0C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Рисунок 3 – Приклад поляризаційних мап дійсних елементів матриці Джонса плівок плазми крові</w:t>
      </w:r>
      <w:r w:rsidR="00330EF1"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а) норма та б) патологія</w:t>
      </w:r>
    </w:p>
    <w:p w:rsidR="00330EF1" w:rsidRPr="00D70696" w:rsidRDefault="00330EF1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330EF1" w:rsidRPr="00D70696" w:rsidRDefault="00330EF1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Як видно із отриманих мап, поляризаційно відфільтровані за зазначеним алгоритмом зображення уявних та дійсних елементів матриці Джонса в залежності від стану «норма» та «патологія» молочних залоз мають різний вигляд: для зображень плазми крові, що відповідає стану «норма», характерна впорядкованість структурних елементів зображення, яке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lastRenderedPageBreak/>
        <w:t xml:space="preserve">характеризується масштабною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самоподібністю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; для зображення плазми крові, що відповідає стану «патологія» молочних залоз характерна хаотичність структурних елементів зображень.</w:t>
      </w:r>
    </w:p>
    <w:p w:rsidR="0067583A" w:rsidRPr="00D70696" w:rsidRDefault="00AB0CFD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Для того, щоб провести кількісне порівняльне оцінювання елементів матриці Джонса плівок плазми крові було вир</w:t>
      </w:r>
      <w:r w:rsidR="00330EF1" w:rsidRPr="00D70696">
        <w:rPr>
          <w:rFonts w:ascii="Times New Roman" w:hAnsi="Times New Roman" w:cs="Times New Roman"/>
          <w:sz w:val="18"/>
          <w:szCs w:val="18"/>
          <w:lang w:val="uk-UA"/>
        </w:rPr>
        <w:t>ішено провести статичний аналіз, результати якого наведено у таблиці 1.</w:t>
      </w:r>
    </w:p>
    <w:p w:rsidR="00330EF1" w:rsidRPr="00D70696" w:rsidRDefault="00330EF1" w:rsidP="00675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330EF1" w:rsidRPr="00D70696" w:rsidRDefault="00B22FBD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Таблиця </w:t>
      </w:r>
      <w:r w:rsidR="00330EF1" w:rsidRPr="00D70696">
        <w:rPr>
          <w:rFonts w:ascii="Times New Roman" w:hAnsi="Times New Roman" w:cs="Times New Roman"/>
          <w:sz w:val="18"/>
          <w:szCs w:val="18"/>
          <w:lang w:val="uk-UA"/>
        </w:rPr>
        <w:t>1 – Статистичні характеристики дійсні елементи матриці Джонса плівок плазми крові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2126"/>
        <w:gridCol w:w="2126"/>
        <w:gridCol w:w="2232"/>
      </w:tblGrid>
      <w:tr w:rsidR="00330EF1" w:rsidRPr="00D70696" w:rsidTr="00427756">
        <w:tc>
          <w:tcPr>
            <w:tcW w:w="817" w:type="dxa"/>
            <w:shd w:val="clear" w:color="auto" w:fill="auto"/>
            <w:vAlign w:val="center"/>
          </w:tcPr>
          <w:p w:rsidR="00330EF1" w:rsidRPr="00D70696" w:rsidRDefault="00AF3DB5" w:rsidP="00330EF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1985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0696">
              <w:rPr>
                <w:rFonts w:ascii="Times New Roman" w:hAnsi="Times New Roman" w:cs="Times New Roman"/>
                <w:sz w:val="18"/>
                <w:szCs w:val="18"/>
              </w:rPr>
              <w:object w:dxaOrig="1060" w:dyaOrig="400">
                <v:shape id="_x0000_i1027" type="#_x0000_t75" style="width:57.6pt;height:21.6pt" o:ole="">
                  <v:imagedata r:id="rId12" o:title=""/>
                </v:shape>
                <o:OLEObject Type="Embed" ProgID="Equation.DSMT4" ShapeID="_x0000_i1027" DrawAspect="Content" ObjectID="_1675419893" r:id="rId13"/>
              </w:object>
            </w:r>
          </w:p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0696">
              <w:rPr>
                <w:rFonts w:ascii="Times New Roman" w:hAnsi="Times New Roman" w:cs="Times New Roman"/>
                <w:sz w:val="18"/>
                <w:szCs w:val="18"/>
              </w:rPr>
              <w:t>норма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0696">
              <w:rPr>
                <w:rFonts w:ascii="Times New Roman" w:hAnsi="Times New Roman" w:cs="Times New Roman"/>
                <w:sz w:val="18"/>
                <w:szCs w:val="18"/>
              </w:rPr>
              <w:object w:dxaOrig="1240" w:dyaOrig="400">
                <v:shape id="_x0000_i1028" type="#_x0000_t75" style="width:67.8pt;height:21.6pt" o:ole="">
                  <v:imagedata r:id="rId14" o:title=""/>
                </v:shape>
                <o:OLEObject Type="Embed" ProgID="Equation.DSMT4" ShapeID="_x0000_i1028" DrawAspect="Content" ObjectID="_1675419894" r:id="rId15"/>
              </w:object>
            </w:r>
          </w:p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0696">
              <w:rPr>
                <w:rFonts w:ascii="Times New Roman" w:hAnsi="Times New Roman" w:cs="Times New Roman"/>
                <w:sz w:val="18"/>
                <w:szCs w:val="18"/>
              </w:rPr>
              <w:t>норма</w:t>
            </w:r>
          </w:p>
        </w:tc>
        <w:tc>
          <w:tcPr>
            <w:tcW w:w="2126" w:type="dxa"/>
            <w:shd w:val="clear" w:color="auto" w:fill="auto"/>
          </w:tcPr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0696">
              <w:rPr>
                <w:rFonts w:ascii="Times New Roman" w:hAnsi="Times New Roman" w:cs="Times New Roman"/>
                <w:sz w:val="18"/>
                <w:szCs w:val="18"/>
              </w:rPr>
              <w:object w:dxaOrig="1060" w:dyaOrig="400">
                <v:shape id="_x0000_i1029" type="#_x0000_t75" style="width:57.6pt;height:21.6pt" o:ole="">
                  <v:imagedata r:id="rId12" o:title=""/>
                </v:shape>
                <o:OLEObject Type="Embed" ProgID="Equation.DSMT4" ShapeID="_x0000_i1029" DrawAspect="Content" ObjectID="_1675419895" r:id="rId16"/>
              </w:object>
            </w:r>
          </w:p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0696">
              <w:rPr>
                <w:rFonts w:ascii="Times New Roman" w:hAnsi="Times New Roman" w:cs="Times New Roman"/>
                <w:sz w:val="18"/>
                <w:szCs w:val="18"/>
              </w:rPr>
              <w:t>патологія</w:t>
            </w:r>
            <w:proofErr w:type="spellEnd"/>
          </w:p>
        </w:tc>
        <w:tc>
          <w:tcPr>
            <w:tcW w:w="2232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0696">
              <w:rPr>
                <w:rFonts w:ascii="Times New Roman" w:hAnsi="Times New Roman" w:cs="Times New Roman"/>
                <w:sz w:val="18"/>
                <w:szCs w:val="18"/>
              </w:rPr>
              <w:object w:dxaOrig="1240" w:dyaOrig="400">
                <v:shape id="_x0000_i1030" type="#_x0000_t75" style="width:67.8pt;height:21.6pt" o:ole="">
                  <v:imagedata r:id="rId14" o:title=""/>
                </v:shape>
                <o:OLEObject Type="Embed" ProgID="Equation.DSMT4" ShapeID="_x0000_i1030" DrawAspect="Content" ObjectID="_1675419896" r:id="rId17"/>
              </w:object>
            </w:r>
          </w:p>
          <w:p w:rsidR="00330EF1" w:rsidRPr="00D70696" w:rsidRDefault="00330EF1" w:rsidP="004277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0696">
              <w:rPr>
                <w:rFonts w:ascii="Times New Roman" w:hAnsi="Times New Roman" w:cs="Times New Roman"/>
                <w:sz w:val="18"/>
                <w:szCs w:val="18"/>
              </w:rPr>
              <w:t>патологія</w:t>
            </w:r>
            <w:proofErr w:type="spellEnd"/>
          </w:p>
        </w:tc>
      </w:tr>
      <w:tr w:rsidR="00330EF1" w:rsidRPr="00D70696" w:rsidTr="00427756">
        <w:tc>
          <w:tcPr>
            <w:tcW w:w="817" w:type="dxa"/>
            <w:shd w:val="clear" w:color="auto" w:fill="auto"/>
            <w:vAlign w:val="center"/>
          </w:tcPr>
          <w:p w:rsidR="00330EF1" w:rsidRPr="00D70696" w:rsidRDefault="00AF3DB5" w:rsidP="0042775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985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0,784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±0,012</m:t>
                </m:r>
              </m:oMath>
            </m:oMathPara>
          </w:p>
        </w:tc>
        <w:tc>
          <w:tcPr>
            <w:tcW w:w="2126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0,716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±0,056</m:t>
                </m:r>
              </m:oMath>
            </m:oMathPara>
          </w:p>
        </w:tc>
        <w:tc>
          <w:tcPr>
            <w:tcW w:w="2126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0,797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±0,025</m:t>
                </m:r>
              </m:oMath>
            </m:oMathPara>
          </w:p>
        </w:tc>
        <w:tc>
          <w:tcPr>
            <w:tcW w:w="2232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0,826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±0,064</m:t>
                </m:r>
              </m:oMath>
            </m:oMathPara>
          </w:p>
        </w:tc>
      </w:tr>
      <w:tr w:rsidR="00330EF1" w:rsidRPr="00D70696" w:rsidTr="00330EF1">
        <w:tc>
          <w:tcPr>
            <w:tcW w:w="817" w:type="dxa"/>
            <w:shd w:val="clear" w:color="auto" w:fill="auto"/>
            <w:vAlign w:val="center"/>
          </w:tcPr>
          <w:p w:rsidR="00330EF1" w:rsidRPr="00D70696" w:rsidRDefault="00AF3DB5" w:rsidP="00427756">
            <w:pPr>
              <w:spacing w:after="0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985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0,143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±0,08</m:t>
                </m:r>
              </m:oMath>
            </m:oMathPara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0,089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±0.01</m:t>
                </m:r>
              </m:oMath>
            </m:oMathPara>
          </w:p>
        </w:tc>
        <w:tc>
          <w:tcPr>
            <w:tcW w:w="2126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0,123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±0,05</m:t>
                </m:r>
              </m:oMath>
            </m:oMathPara>
          </w:p>
        </w:tc>
        <w:tc>
          <w:tcPr>
            <w:tcW w:w="2232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0,045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±0.025</m:t>
                </m:r>
              </m:oMath>
            </m:oMathPara>
          </w:p>
        </w:tc>
      </w:tr>
      <w:tr w:rsidR="00330EF1" w:rsidRPr="00D70696" w:rsidTr="00330EF1">
        <w:tc>
          <w:tcPr>
            <w:tcW w:w="817" w:type="dxa"/>
            <w:shd w:val="clear" w:color="auto" w:fill="auto"/>
            <w:vAlign w:val="center"/>
          </w:tcPr>
          <w:p w:rsidR="00330EF1" w:rsidRPr="00D70696" w:rsidRDefault="00AF3DB5" w:rsidP="0042775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0,127±0,095</m:t>
                </m:r>
              </m:oMath>
            </m:oMathPara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0,694±0,095</m:t>
                </m:r>
              </m:oMath>
            </m:oMathPara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1,189±0.22</m:t>
                </m:r>
              </m:oMath>
            </m:oMathPara>
          </w:p>
        </w:tc>
        <w:tc>
          <w:tcPr>
            <w:tcW w:w="2232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1,016±0,07</m:t>
                </m:r>
              </m:oMath>
            </m:oMathPara>
          </w:p>
        </w:tc>
      </w:tr>
      <w:tr w:rsidR="00330EF1" w:rsidRPr="00D70696" w:rsidTr="00330EF1">
        <w:tc>
          <w:tcPr>
            <w:tcW w:w="817" w:type="dxa"/>
            <w:shd w:val="clear" w:color="auto" w:fill="auto"/>
            <w:vAlign w:val="center"/>
          </w:tcPr>
          <w:p w:rsidR="00330EF1" w:rsidRPr="00D70696" w:rsidRDefault="00AF3DB5" w:rsidP="00427756">
            <w:pPr>
              <w:spacing w:after="0"/>
              <w:ind w:right="34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985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3,761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±0,24</m:t>
                </m:r>
              </m:oMath>
            </m:oMathPara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7,079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±0,52</m:t>
                </m:r>
              </m:oMath>
            </m:oMathPara>
          </w:p>
        </w:tc>
        <w:tc>
          <w:tcPr>
            <w:tcW w:w="2126" w:type="dxa"/>
            <w:shd w:val="clear" w:color="auto" w:fill="auto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3,262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±0,423</m:t>
                </m:r>
              </m:oMath>
            </m:oMathPara>
          </w:p>
        </w:tc>
        <w:tc>
          <w:tcPr>
            <w:tcW w:w="2232" w:type="dxa"/>
            <w:shd w:val="clear" w:color="auto" w:fill="E7E6E6" w:themeFill="background2"/>
            <w:vAlign w:val="center"/>
          </w:tcPr>
          <w:p w:rsidR="00330EF1" w:rsidRPr="00D70696" w:rsidRDefault="00330EF1" w:rsidP="00427756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3,021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±0,33</m:t>
                </m:r>
              </m:oMath>
            </m:oMathPara>
          </w:p>
        </w:tc>
      </w:tr>
    </w:tbl>
    <w:p w:rsidR="00330EF1" w:rsidRPr="00D70696" w:rsidRDefault="00330EF1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330EF1" w:rsidRPr="00D70696" w:rsidRDefault="00330EF1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В ході аналізу одержаних даних було установлено, що найбільш чутливим (за діапазоном зміни величини) до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орієнтаційних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R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11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(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m×n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) механізмів перетворення параметрів лазерного випромінювання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двопроменезаломлюючою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сіткою мереж білків альбумінів і глобулінів є 3-й статистичний момент (в 8 – 9 разів). </w:t>
      </w:r>
    </w:p>
    <w:p w:rsidR="00330EF1" w:rsidRPr="00D70696" w:rsidRDefault="00330EF1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Відповідно, </w:t>
      </w:r>
      <w:r w:rsidR="00B22FBD" w:rsidRPr="00D70696">
        <w:rPr>
          <w:rFonts w:ascii="Times New Roman" w:hAnsi="Times New Roman" w:cs="Times New Roman"/>
          <w:sz w:val="18"/>
          <w:szCs w:val="18"/>
          <w:lang w:val="uk-UA"/>
        </w:rPr>
        <w:t>найбільш чутливими до фазових R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12;21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>(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m×n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) механізмів є 2-ий (в 1,9 раз), 3-ий (в 1,5 раз) та 4-ий (в 2 – 2,5 разів) статистичні моменти.</w:t>
      </w:r>
    </w:p>
    <w:p w:rsidR="00B22FBD" w:rsidRPr="00D70696" w:rsidRDefault="00B22FBD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Для того щоб покращити достовірність та автоматизацію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відеополяриметричної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оптикоелектронної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системи для аналізу плівок плазми крові було вирішено ввести систему підтримки прийняття рішень на основі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нейромережі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. Було обрано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нейромережу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типу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перцептрон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з навчанням з учителем за методом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зворотнього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поширення помилки. Структуру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нейромережі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представлено на рисунку 4.</w:t>
      </w:r>
    </w:p>
    <w:p w:rsidR="00B22FBD" w:rsidRPr="00D70696" w:rsidRDefault="00B22FBD" w:rsidP="00330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B22FBD" w:rsidRPr="00D70696" w:rsidRDefault="00B22FBD" w:rsidP="00D70696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</w:rPr>
        <w:object w:dxaOrig="14172" w:dyaOrig="10092">
          <v:shape id="_x0000_i1031" type="#_x0000_t75" style="width:481.8pt;height:343.2pt" o:ole="">
            <v:imagedata r:id="rId18" o:title=""/>
          </v:shape>
          <o:OLEObject Type="Embed" ProgID="Visio.Drawing.15" ShapeID="_x0000_i1031" DrawAspect="Content" ObjectID="_1675419897" r:id="rId19"/>
        </w:objec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Рисунок 4 – Структура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нейромережі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для класифікації нозологій</w:t>
      </w:r>
    </w:p>
    <w:p w:rsidR="00E13664" w:rsidRPr="00D70696" w:rsidRDefault="00E13664" w:rsidP="00B22FB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p w:rsidR="00E13664" w:rsidRPr="00D70696" w:rsidRDefault="00E13664" w:rsidP="00E136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lastRenderedPageBreak/>
        <w:t xml:space="preserve">Для того щоб перевірити достовірність та якість навчання нейронної мережі є виведення матриці помилок (рис. 5). Вона дозволяє оцінити достовірність навченої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нейромережі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не лише якісно але й кількісно. Отже на рисунку наведено чотири матриці помилок для різних вибірок даних: навчальна, перевірочна, тестова і загальна. </w:t>
      </w:r>
    </w:p>
    <w:p w:rsidR="00E13664" w:rsidRPr="00D70696" w:rsidRDefault="00E13664" w:rsidP="00E13664">
      <w:pPr>
        <w:spacing w:after="0" w:line="360" w:lineRule="auto"/>
        <w:ind w:firstLine="709"/>
        <w:rPr>
          <w:rFonts w:ascii="Times New Roman" w:hAnsi="Times New Roman" w:cs="Times New Roman"/>
          <w:sz w:val="18"/>
          <w:szCs w:val="18"/>
          <w:lang w:val="uk-UA"/>
        </w:rPr>
      </w:pPr>
    </w:p>
    <w:p w:rsidR="00E13664" w:rsidRPr="00D70696" w:rsidRDefault="00E13664" w:rsidP="00E136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44A5D4F" wp14:editId="03EA63D0">
            <wp:extent cx="3560400" cy="3852691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0400" cy="385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64" w:rsidRPr="00D70696" w:rsidRDefault="00E13664" w:rsidP="00E136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Рисунок 5 – Матриця помилок</w:t>
      </w:r>
    </w:p>
    <w:p w:rsidR="00E13664" w:rsidRPr="00D70696" w:rsidRDefault="00E13664" w:rsidP="00E136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p w:rsidR="00E13664" w:rsidRPr="00D70696" w:rsidRDefault="00E13664" w:rsidP="00E136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Дещо детальніше зупинимось на матриці помилок для тестової вибірки даних. В даному випадку було проаналізовано 102 зразки з яких помилково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продиференційовано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було лише три</w:t>
      </w:r>
      <w:r w:rsidRPr="00D70696">
        <w:rPr>
          <w:rFonts w:ascii="Times New Roman" w:hAnsi="Times New Roman" w:cs="Times New Roman"/>
          <w:sz w:val="18"/>
          <w:szCs w:val="18"/>
        </w:rPr>
        <w:t xml:space="preserve">. </w:t>
      </w: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Загальну точність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оптикоелектронної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системи складає близько 90%, що дозволяє стверджувати про досить високу якість навчання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нейромережі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>.</w:t>
      </w:r>
    </w:p>
    <w:p w:rsidR="00E13664" w:rsidRPr="00D70696" w:rsidRDefault="00E13664" w:rsidP="00E13664">
      <w:pPr>
        <w:spacing w:after="0" w:line="360" w:lineRule="auto"/>
        <w:ind w:firstLine="709"/>
        <w:rPr>
          <w:rFonts w:ascii="Times New Roman" w:hAnsi="Times New Roman" w:cs="Times New Roman"/>
          <w:sz w:val="18"/>
          <w:szCs w:val="18"/>
          <w:lang w:val="uk-UA"/>
        </w:rPr>
      </w:pPr>
    </w:p>
    <w:p w:rsidR="00E13664" w:rsidRPr="00D70696" w:rsidRDefault="00E13664" w:rsidP="00E13664">
      <w:pPr>
        <w:spacing w:after="0" w:line="360" w:lineRule="auto"/>
        <w:ind w:firstLine="709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b/>
          <w:sz w:val="18"/>
          <w:szCs w:val="18"/>
          <w:lang w:val="uk-UA"/>
        </w:rPr>
        <w:t>Висновки</w:t>
      </w:r>
    </w:p>
    <w:p w:rsidR="00E13664" w:rsidRPr="00D70696" w:rsidRDefault="00E13664" w:rsidP="00E136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На основі запропонованого методу Джонс — матричного картографування елементів матриці Джонса для описання поляризаційних властивостей плівок плазми крові була доведена ефективність останнього для задач диференціації виміряних координатних розподілів дійсних елементів матриці Джонса, а саме — зразків плазми людей зі здоровою молочною залозою та з патологічними змінами в ній.</w:t>
      </w:r>
    </w:p>
    <w:p w:rsidR="00E13664" w:rsidRPr="00D70696" w:rsidRDefault="00E13664" w:rsidP="00E136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Аналіз одержаних даних про силу методу Джонс-матричного картографування мікроскопічних лазерних зображень для діагностики злоякісних змін молочної залози виявив наступне: сила методу поляризаційної діагностики злоякісних змін молочної залози для дійсних елементів матриці Джонса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A</w:t>
      </w:r>
      <w:r w:rsidRPr="00D70696">
        <w:rPr>
          <w:rFonts w:ascii="Times New Roman" w:hAnsi="Times New Roman" w:cs="Times New Roman"/>
          <w:sz w:val="18"/>
          <w:szCs w:val="18"/>
          <w:vertAlign w:val="subscript"/>
          <w:lang w:val="uk-UA"/>
        </w:rPr>
        <w:t>с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=90, відповідає необхідному рівню для медичних </w:t>
      </w:r>
      <w:proofErr w:type="spellStart"/>
      <w:r w:rsidRPr="00D70696">
        <w:rPr>
          <w:rFonts w:ascii="Times New Roman" w:hAnsi="Times New Roman" w:cs="Times New Roman"/>
          <w:sz w:val="18"/>
          <w:szCs w:val="18"/>
          <w:lang w:val="uk-UA"/>
        </w:rPr>
        <w:t>діагностувальних</w:t>
      </w:r>
      <w:proofErr w:type="spellEnd"/>
      <w:r w:rsidRPr="00D70696">
        <w:rPr>
          <w:rFonts w:ascii="Times New Roman" w:hAnsi="Times New Roman" w:cs="Times New Roman"/>
          <w:sz w:val="18"/>
          <w:szCs w:val="18"/>
          <w:lang w:val="uk-UA"/>
        </w:rPr>
        <w:t xml:space="preserve"> систем</w:t>
      </w:r>
    </w:p>
    <w:p w:rsidR="00E13664" w:rsidRPr="00D70696" w:rsidRDefault="00E13664" w:rsidP="00E136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E13664" w:rsidRPr="00D70696" w:rsidRDefault="00E13664" w:rsidP="00E1366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70696">
        <w:rPr>
          <w:rFonts w:ascii="Times New Roman" w:hAnsi="Times New Roman" w:cs="Times New Roman"/>
          <w:sz w:val="18"/>
          <w:szCs w:val="18"/>
          <w:lang w:val="uk-UA"/>
        </w:rPr>
        <w:t>Список літератури</w:t>
      </w:r>
    </w:p>
    <w:p w:rsidR="00E13664" w:rsidRPr="00D70696" w:rsidRDefault="00E13664" w:rsidP="00E13664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eastAsiaTheme="minorHAnsi"/>
          <w:sz w:val="18"/>
          <w:szCs w:val="18"/>
          <w:lang w:val="uk-UA"/>
        </w:rPr>
      </w:pPr>
      <w:r w:rsidRPr="00D70696">
        <w:rPr>
          <w:rFonts w:eastAsiaTheme="minorHAnsi"/>
          <w:sz w:val="18"/>
          <w:szCs w:val="18"/>
          <w:lang w:val="uk-UA"/>
        </w:rPr>
        <w:t>Основи лазерної поляриметрії. Біологічні рідини / [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Ушенко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О. Г., Бойчук Т. М., Заболотна Н. І. та ін.]; під ред. О. Г.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Ушенка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. — Чернівці : Чернівецький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нац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>. ун-т, 2011. —656 с.</w:t>
      </w:r>
    </w:p>
    <w:p w:rsidR="00E13664" w:rsidRPr="00D70696" w:rsidRDefault="00E13664" w:rsidP="00E13664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eastAsiaTheme="minorHAnsi"/>
          <w:sz w:val="18"/>
          <w:szCs w:val="18"/>
          <w:lang w:val="uk-UA"/>
        </w:rPr>
      </w:pPr>
      <w:proofErr w:type="spellStart"/>
      <w:r w:rsidRPr="00D70696">
        <w:rPr>
          <w:rFonts w:eastAsiaTheme="minorHAnsi"/>
          <w:sz w:val="18"/>
          <w:szCs w:val="18"/>
          <w:lang w:val="uk-UA"/>
        </w:rPr>
        <w:t>Shuichi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Makita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Kazuhiro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Kurokawa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Young-Joo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Hong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Masahiro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Miura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,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and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Yoshiaki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Yasuno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>, «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Noise-immune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complex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correlation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for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optical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coherence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angiography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based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on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standard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and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Jones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matrix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optical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coherence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tomography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,»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Biomed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.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Opt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>. Express 7, 1525—1548 (2016)</w:t>
      </w:r>
    </w:p>
    <w:p w:rsidR="00E13664" w:rsidRPr="00D70696" w:rsidRDefault="00E13664" w:rsidP="00E13664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eastAsiaTheme="minorHAnsi"/>
          <w:sz w:val="18"/>
          <w:szCs w:val="18"/>
          <w:lang w:val="uk-UA"/>
        </w:rPr>
      </w:pPr>
      <w:proofErr w:type="spellStart"/>
      <w:r w:rsidRPr="00D70696">
        <w:rPr>
          <w:rFonts w:eastAsiaTheme="minorHAnsi"/>
          <w:sz w:val="18"/>
          <w:szCs w:val="18"/>
          <w:lang w:val="uk-UA"/>
        </w:rPr>
        <w:lastRenderedPageBreak/>
        <w:t>Tuchin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V. V.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Optical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Polarization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in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Biomedical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Applications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/ T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uchin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V . V ., W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ang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L . V .,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Zimnyakov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D. A. —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Berlin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 :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Springer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>, 2006. — 285 p.</w:t>
      </w:r>
    </w:p>
    <w:p w:rsidR="00E13664" w:rsidRPr="00D70696" w:rsidRDefault="00D70696" w:rsidP="00E13664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eastAsiaTheme="minorHAnsi"/>
          <w:sz w:val="18"/>
          <w:szCs w:val="18"/>
          <w:lang w:val="uk-UA"/>
        </w:rPr>
      </w:pPr>
      <w:r w:rsidRPr="00D70696">
        <w:rPr>
          <w:rFonts w:eastAsiaTheme="minorHAnsi"/>
          <w:sz w:val="18"/>
          <w:szCs w:val="18"/>
          <w:lang w:val="uk-UA"/>
        </w:rPr>
        <w:t xml:space="preserve">Звіт про захворюваність на злоякісні новоутворення [Електронний ресурс]. – 2019. – Режим доступу до ресурсу: </w:t>
      </w:r>
      <w:hyperlink r:id="rId21" w:history="1">
        <w:r w:rsidRPr="00D70696">
          <w:rPr>
            <w:rStyle w:val="a4"/>
            <w:rFonts w:eastAsiaTheme="minorHAnsi"/>
            <w:sz w:val="18"/>
            <w:szCs w:val="18"/>
            <w:lang w:val="uk-UA"/>
          </w:rPr>
          <w:t>http://medstat.gov.ua/ukr/statdan.html</w:t>
        </w:r>
      </w:hyperlink>
      <w:r w:rsidRPr="00D70696">
        <w:rPr>
          <w:rFonts w:eastAsiaTheme="minorHAnsi"/>
          <w:sz w:val="18"/>
          <w:szCs w:val="18"/>
          <w:lang w:val="uk-UA"/>
        </w:rPr>
        <w:t>.</w:t>
      </w:r>
    </w:p>
    <w:p w:rsidR="00D70696" w:rsidRPr="00D70696" w:rsidRDefault="00D70696" w:rsidP="00D70696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eastAsiaTheme="minorHAnsi"/>
          <w:sz w:val="18"/>
          <w:szCs w:val="18"/>
          <w:lang w:val="uk-UA"/>
        </w:rPr>
      </w:pPr>
      <w:r w:rsidRPr="00D70696">
        <w:rPr>
          <w:rFonts w:eastAsiaTheme="minorHAnsi"/>
          <w:sz w:val="18"/>
          <w:szCs w:val="18"/>
          <w:lang w:val="uk-UA"/>
        </w:rPr>
        <w:t xml:space="preserve">Спосіб лазерної поляризаційної діагностики раку молочної залози за Джонс-матричними мапами плазми крові людини / Н. І. Заболотна, С. В. Павлов, О. В. Карась, К. О. Радченко (Україна). – № u 2018 12519 ;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заявл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. 17.12.2018 ;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опубл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 xml:space="preserve">. 25.07.2019, </w:t>
      </w:r>
      <w:proofErr w:type="spellStart"/>
      <w:r w:rsidRPr="00D70696">
        <w:rPr>
          <w:rFonts w:eastAsiaTheme="minorHAnsi"/>
          <w:sz w:val="18"/>
          <w:szCs w:val="18"/>
          <w:lang w:val="uk-UA"/>
        </w:rPr>
        <w:t>Бюл</w:t>
      </w:r>
      <w:proofErr w:type="spellEnd"/>
      <w:r w:rsidRPr="00D70696">
        <w:rPr>
          <w:rFonts w:eastAsiaTheme="minorHAnsi"/>
          <w:sz w:val="18"/>
          <w:szCs w:val="18"/>
          <w:lang w:val="uk-UA"/>
        </w:rPr>
        <w:t>. № 14. – 5 с.</w:t>
      </w:r>
    </w:p>
    <w:p w:rsidR="00D70696" w:rsidRPr="00D70696" w:rsidRDefault="00D70696" w:rsidP="00D70696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eastAsiaTheme="minorHAnsi"/>
          <w:sz w:val="18"/>
          <w:szCs w:val="18"/>
          <w:lang w:val="uk-UA"/>
        </w:rPr>
      </w:pPr>
      <w:r w:rsidRPr="00D70696">
        <w:rPr>
          <w:rFonts w:eastAsiaTheme="minorHAnsi"/>
          <w:sz w:val="18"/>
          <w:szCs w:val="18"/>
          <w:lang w:val="uk-UA"/>
        </w:rPr>
        <w:t>Заболотна Н. І. Архітектура і алгоритми функціонування та аналізу даних двовимірних систем лазерної поляриметрії біологічних тканин / Заболотна Н. І. // Оптико-електронні інформаційно-енергетичні технології. — 2013. — №1(25). — С. 54—65.</w:t>
      </w:r>
    </w:p>
    <w:sectPr w:rsidR="00D70696" w:rsidRPr="00D70696" w:rsidSect="007E7EC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2BF5"/>
    <w:multiLevelType w:val="hybridMultilevel"/>
    <w:tmpl w:val="0734A676"/>
    <w:lvl w:ilvl="0" w:tplc="AEFC7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065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36E2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CE7B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7A5C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543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B07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487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58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0D65892"/>
    <w:multiLevelType w:val="hybridMultilevel"/>
    <w:tmpl w:val="5E6E2652"/>
    <w:lvl w:ilvl="0" w:tplc="91840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7A1C19"/>
    <w:multiLevelType w:val="hybridMultilevel"/>
    <w:tmpl w:val="AA924038"/>
    <w:lvl w:ilvl="0" w:tplc="06A68E2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7D"/>
    <w:rsid w:val="00096BAC"/>
    <w:rsid w:val="000C1861"/>
    <w:rsid w:val="00312D36"/>
    <w:rsid w:val="00330EF1"/>
    <w:rsid w:val="00430A12"/>
    <w:rsid w:val="004E75FE"/>
    <w:rsid w:val="006255D4"/>
    <w:rsid w:val="0067583A"/>
    <w:rsid w:val="00680721"/>
    <w:rsid w:val="007E7ECE"/>
    <w:rsid w:val="00905E6F"/>
    <w:rsid w:val="00AA262A"/>
    <w:rsid w:val="00AB0CFD"/>
    <w:rsid w:val="00AF3DB5"/>
    <w:rsid w:val="00B22FBD"/>
    <w:rsid w:val="00CB378F"/>
    <w:rsid w:val="00D3439E"/>
    <w:rsid w:val="00D70696"/>
    <w:rsid w:val="00E016B5"/>
    <w:rsid w:val="00E13664"/>
    <w:rsid w:val="00E66631"/>
    <w:rsid w:val="00F13B34"/>
    <w:rsid w:val="00FD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4D6C5-CBEF-43AB-A334-9207B9B6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A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706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8834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3" Type="http://schemas.openxmlformats.org/officeDocument/2006/relationships/settings" Target="settings.xml"/><Relationship Id="rId21" Type="http://schemas.openxmlformats.org/officeDocument/2006/relationships/hyperlink" Target="http://medstat.gov.ua/ukr/statdan.html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oleObject" Target="embeddings/oleObject2.bin"/><Relationship Id="rId5" Type="http://schemas.openxmlformats.org/officeDocument/2006/relationships/image" Target="media/image1.png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package" Target="embeddings/_________Microsoft_Visio1.vsdx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Карась</dc:creator>
  <cp:keywords/>
  <dc:description/>
  <cp:lastModifiedBy>Саша Карась</cp:lastModifiedBy>
  <cp:revision>8</cp:revision>
  <dcterms:created xsi:type="dcterms:W3CDTF">2021-02-19T09:03:00Z</dcterms:created>
  <dcterms:modified xsi:type="dcterms:W3CDTF">2021-02-21T11:38:00Z</dcterms:modified>
</cp:coreProperties>
</file>