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A41" w:rsidRPr="00B045FC" w:rsidRDefault="000D7A2E" w:rsidP="000002A3">
      <w:pPr>
        <w:tabs>
          <w:tab w:val="left" w:pos="567"/>
        </w:tabs>
        <w:spacing w:line="240" w:lineRule="auto"/>
        <w:jc w:val="center"/>
        <w:rPr>
          <w:b/>
          <w:caps/>
          <w:sz w:val="22"/>
          <w:szCs w:val="22"/>
          <w:lang w:val="uk-UA"/>
        </w:rPr>
      </w:pPr>
      <w:r>
        <w:rPr>
          <w:b/>
          <w:caps/>
          <w:sz w:val="22"/>
          <w:szCs w:val="22"/>
          <w:lang w:val="uk-UA"/>
        </w:rPr>
        <w:t>Аналіз відомих методик розрахунку прорізних пружин</w:t>
      </w:r>
    </w:p>
    <w:p w:rsidR="000D7A2E" w:rsidRPr="00B045FC" w:rsidRDefault="000D7A2E" w:rsidP="000002A3">
      <w:pPr>
        <w:tabs>
          <w:tab w:val="left" w:pos="567"/>
        </w:tabs>
        <w:spacing w:line="240" w:lineRule="auto"/>
        <w:jc w:val="center"/>
        <w:rPr>
          <w:b/>
          <w:caps/>
          <w:sz w:val="22"/>
          <w:szCs w:val="22"/>
          <w:lang w:val="uk-UA"/>
        </w:rPr>
      </w:pPr>
      <w:r w:rsidRPr="000D7A2E">
        <w:rPr>
          <w:b/>
          <w:caps/>
          <w:sz w:val="22"/>
          <w:szCs w:val="22"/>
          <w:lang w:val="uk-UA"/>
        </w:rPr>
        <w:t xml:space="preserve">Analysis of the </w:t>
      </w:r>
      <w:r w:rsidR="00756F90" w:rsidRPr="00756F90">
        <w:rPr>
          <w:b/>
          <w:caps/>
          <w:color w:val="000000"/>
          <w:sz w:val="22"/>
          <w:szCs w:val="22"/>
          <w:shd w:val="clear" w:color="auto" w:fill="FFFFFF"/>
          <w:lang w:val="en-US"/>
        </w:rPr>
        <w:t>well-known</w:t>
      </w:r>
      <w:r w:rsidR="00756F90">
        <w:rPr>
          <w:rFonts w:ascii="Arial" w:hAnsi="Arial" w:cs="Arial"/>
          <w:color w:val="000000"/>
          <w:sz w:val="17"/>
          <w:szCs w:val="17"/>
          <w:shd w:val="clear" w:color="auto" w:fill="FFFFFF"/>
          <w:lang w:val="uk-UA"/>
        </w:rPr>
        <w:t xml:space="preserve"> </w:t>
      </w:r>
      <w:r w:rsidRPr="000D7A2E">
        <w:rPr>
          <w:b/>
          <w:caps/>
          <w:sz w:val="22"/>
          <w:szCs w:val="22"/>
          <w:lang w:val="uk-UA"/>
        </w:rPr>
        <w:t>method</w:t>
      </w:r>
      <w:r>
        <w:rPr>
          <w:b/>
          <w:caps/>
          <w:sz w:val="22"/>
          <w:szCs w:val="22"/>
          <w:lang w:val="uk-UA"/>
        </w:rPr>
        <w:t xml:space="preserve"> </w:t>
      </w:r>
      <w:r w:rsidRPr="000D7A2E">
        <w:rPr>
          <w:b/>
          <w:caps/>
          <w:sz w:val="22"/>
          <w:szCs w:val="22"/>
          <w:lang w:val="uk-UA"/>
        </w:rPr>
        <w:t>for calculating slotted Springs</w:t>
      </w:r>
    </w:p>
    <w:p w:rsidR="00F83A41" w:rsidRPr="00B045FC" w:rsidRDefault="00F83A41" w:rsidP="000002A3">
      <w:pPr>
        <w:tabs>
          <w:tab w:val="left" w:pos="567"/>
        </w:tabs>
        <w:spacing w:line="240" w:lineRule="auto"/>
        <w:jc w:val="center"/>
        <w:rPr>
          <w:sz w:val="22"/>
          <w:szCs w:val="22"/>
          <w:lang w:val="uk-UA"/>
        </w:rPr>
      </w:pPr>
      <w:r w:rsidRPr="00B045FC">
        <w:rPr>
          <w:sz w:val="22"/>
          <w:szCs w:val="22"/>
          <w:lang w:val="uk-UA"/>
        </w:rPr>
        <w:t>Роман Романович Обертюх, Андрій Валентинович Слабкий</w:t>
      </w:r>
    </w:p>
    <w:p w:rsidR="00F83A41" w:rsidRDefault="00F83A41" w:rsidP="000002A3">
      <w:pPr>
        <w:tabs>
          <w:tab w:val="left" w:pos="180"/>
          <w:tab w:val="left" w:pos="360"/>
          <w:tab w:val="left" w:pos="540"/>
          <w:tab w:val="left" w:pos="567"/>
          <w:tab w:val="left" w:pos="720"/>
        </w:tabs>
        <w:spacing w:line="240" w:lineRule="auto"/>
        <w:jc w:val="center"/>
        <w:rPr>
          <w:i/>
          <w:spacing w:val="-6"/>
          <w:sz w:val="22"/>
          <w:szCs w:val="22"/>
          <w:lang w:val="uk-UA"/>
        </w:rPr>
      </w:pPr>
      <w:r w:rsidRPr="00AD5FA7">
        <w:rPr>
          <w:i/>
          <w:spacing w:val="-6"/>
          <w:sz w:val="22"/>
          <w:szCs w:val="22"/>
          <w:lang w:val="uk-UA"/>
        </w:rPr>
        <w:t xml:space="preserve">Вінницький національний технічний університет, </w:t>
      </w:r>
    </w:p>
    <w:p w:rsidR="00F83A41" w:rsidRDefault="00F83A41" w:rsidP="000002A3">
      <w:pPr>
        <w:tabs>
          <w:tab w:val="left" w:pos="180"/>
          <w:tab w:val="left" w:pos="360"/>
          <w:tab w:val="left" w:pos="540"/>
          <w:tab w:val="left" w:pos="567"/>
          <w:tab w:val="left" w:pos="720"/>
        </w:tabs>
        <w:spacing w:line="240" w:lineRule="auto"/>
        <w:jc w:val="center"/>
        <w:rPr>
          <w:i/>
          <w:spacing w:val="-6"/>
          <w:sz w:val="22"/>
          <w:szCs w:val="22"/>
          <w:lang w:val="uk-UA"/>
        </w:rPr>
      </w:pPr>
      <w:r w:rsidRPr="00AD5FA7">
        <w:rPr>
          <w:i/>
          <w:spacing w:val="-6"/>
          <w:sz w:val="22"/>
          <w:szCs w:val="22"/>
          <w:lang w:val="uk-UA"/>
        </w:rPr>
        <w:t>Вул. Хмельницьке шосе 95, м. Вінниця, Україна, 21021</w:t>
      </w:r>
    </w:p>
    <w:p w:rsidR="00756F90" w:rsidRPr="00B045FC" w:rsidRDefault="00756F90" w:rsidP="00756F90">
      <w:pPr>
        <w:tabs>
          <w:tab w:val="left" w:pos="567"/>
        </w:tabs>
        <w:spacing w:line="240" w:lineRule="auto"/>
        <w:jc w:val="center"/>
        <w:rPr>
          <w:b/>
          <w:caps/>
          <w:sz w:val="22"/>
          <w:szCs w:val="22"/>
          <w:lang w:val="uk-UA"/>
        </w:rPr>
      </w:pPr>
      <w:proofErr w:type="spellStart"/>
      <w:r>
        <w:rPr>
          <w:i/>
          <w:spacing w:val="-6"/>
          <w:sz w:val="22"/>
          <w:szCs w:val="22"/>
          <w:lang w:val="uk-UA"/>
        </w:rPr>
        <w:t>Е</w:t>
      </w:r>
      <w:r w:rsidRPr="00756F90">
        <w:rPr>
          <w:i/>
          <w:spacing w:val="-6"/>
          <w:sz w:val="22"/>
          <w:szCs w:val="22"/>
          <w:lang w:val="uk-UA"/>
        </w:rPr>
        <w:t>xecuted</w:t>
      </w:r>
      <w:proofErr w:type="spellEnd"/>
      <w:r>
        <w:rPr>
          <w:i/>
          <w:spacing w:val="-6"/>
          <w:sz w:val="22"/>
          <w:szCs w:val="22"/>
          <w:lang w:val="uk-UA"/>
        </w:rPr>
        <w:t xml:space="preserve"> </w:t>
      </w:r>
      <w:proofErr w:type="spellStart"/>
      <w:r w:rsidRPr="00756F90">
        <w:rPr>
          <w:i/>
          <w:sz w:val="22"/>
          <w:szCs w:val="22"/>
          <w:lang w:val="uk-UA"/>
        </w:rPr>
        <w:t>аnalysis</w:t>
      </w:r>
      <w:proofErr w:type="spellEnd"/>
      <w:r w:rsidRPr="00756F90">
        <w:rPr>
          <w:i/>
          <w:sz w:val="22"/>
          <w:szCs w:val="22"/>
          <w:lang w:val="uk-UA"/>
        </w:rPr>
        <w:t xml:space="preserve"> </w:t>
      </w:r>
      <w:proofErr w:type="spellStart"/>
      <w:r w:rsidRPr="00756F90">
        <w:rPr>
          <w:i/>
          <w:sz w:val="22"/>
          <w:szCs w:val="22"/>
          <w:lang w:val="uk-UA"/>
        </w:rPr>
        <w:t>of</w:t>
      </w:r>
      <w:proofErr w:type="spellEnd"/>
      <w:r w:rsidRPr="00756F90">
        <w:rPr>
          <w:i/>
          <w:sz w:val="22"/>
          <w:szCs w:val="22"/>
          <w:lang w:val="uk-UA"/>
        </w:rPr>
        <w:t xml:space="preserve"> </w:t>
      </w:r>
      <w:proofErr w:type="spellStart"/>
      <w:r w:rsidRPr="00756F90">
        <w:rPr>
          <w:i/>
          <w:sz w:val="22"/>
          <w:szCs w:val="22"/>
          <w:lang w:val="uk-UA"/>
        </w:rPr>
        <w:t>the</w:t>
      </w:r>
      <w:proofErr w:type="spellEnd"/>
      <w:r w:rsidRPr="00756F90">
        <w:rPr>
          <w:i/>
          <w:sz w:val="22"/>
          <w:szCs w:val="22"/>
          <w:lang w:val="uk-UA"/>
        </w:rPr>
        <w:t xml:space="preserve"> </w:t>
      </w:r>
      <w:r w:rsidRPr="00756F90">
        <w:rPr>
          <w:i/>
          <w:color w:val="000000"/>
          <w:sz w:val="22"/>
          <w:szCs w:val="22"/>
          <w:shd w:val="clear" w:color="auto" w:fill="FFFFFF"/>
          <w:lang w:val="en-US"/>
        </w:rPr>
        <w:t>well-known</w:t>
      </w:r>
      <w:r w:rsidRPr="00756F90">
        <w:rPr>
          <w:rFonts w:ascii="Arial" w:hAnsi="Arial" w:cs="Arial"/>
          <w:i/>
          <w:color w:val="000000"/>
          <w:sz w:val="17"/>
          <w:szCs w:val="17"/>
          <w:shd w:val="clear" w:color="auto" w:fill="FFFFFF"/>
          <w:lang w:val="uk-UA"/>
        </w:rPr>
        <w:t xml:space="preserve"> </w:t>
      </w:r>
      <w:proofErr w:type="spellStart"/>
      <w:r w:rsidRPr="00756F90">
        <w:rPr>
          <w:i/>
          <w:sz w:val="22"/>
          <w:szCs w:val="22"/>
          <w:lang w:val="uk-UA"/>
        </w:rPr>
        <w:t>method</w:t>
      </w:r>
      <w:proofErr w:type="spellEnd"/>
      <w:r w:rsidRPr="00756F90">
        <w:rPr>
          <w:i/>
          <w:sz w:val="22"/>
          <w:szCs w:val="22"/>
          <w:lang w:val="uk-UA"/>
        </w:rPr>
        <w:t xml:space="preserve"> </w:t>
      </w:r>
      <w:proofErr w:type="spellStart"/>
      <w:r>
        <w:rPr>
          <w:i/>
          <w:sz w:val="22"/>
          <w:szCs w:val="22"/>
          <w:lang w:val="uk-UA"/>
        </w:rPr>
        <w:t>for</w:t>
      </w:r>
      <w:proofErr w:type="spellEnd"/>
      <w:r>
        <w:rPr>
          <w:i/>
          <w:sz w:val="22"/>
          <w:szCs w:val="22"/>
          <w:lang w:val="uk-UA"/>
        </w:rPr>
        <w:t xml:space="preserve"> </w:t>
      </w:r>
      <w:proofErr w:type="spellStart"/>
      <w:r>
        <w:rPr>
          <w:i/>
          <w:sz w:val="22"/>
          <w:szCs w:val="22"/>
          <w:lang w:val="uk-UA"/>
        </w:rPr>
        <w:t>calculating</w:t>
      </w:r>
      <w:proofErr w:type="spellEnd"/>
      <w:r>
        <w:rPr>
          <w:i/>
          <w:sz w:val="22"/>
          <w:szCs w:val="22"/>
          <w:lang w:val="uk-UA"/>
        </w:rPr>
        <w:t xml:space="preserve"> </w:t>
      </w:r>
      <w:proofErr w:type="spellStart"/>
      <w:r>
        <w:rPr>
          <w:i/>
          <w:sz w:val="22"/>
          <w:szCs w:val="22"/>
          <w:lang w:val="uk-UA"/>
        </w:rPr>
        <w:t>slotted</w:t>
      </w:r>
      <w:proofErr w:type="spellEnd"/>
      <w:r>
        <w:rPr>
          <w:i/>
          <w:sz w:val="22"/>
          <w:szCs w:val="22"/>
          <w:lang w:val="uk-UA"/>
        </w:rPr>
        <w:t xml:space="preserve"> </w:t>
      </w:r>
      <w:r>
        <w:rPr>
          <w:i/>
          <w:sz w:val="22"/>
          <w:szCs w:val="22"/>
          <w:lang w:val="en-US"/>
        </w:rPr>
        <w:t>s</w:t>
      </w:r>
      <w:proofErr w:type="spellStart"/>
      <w:r w:rsidRPr="00756F90">
        <w:rPr>
          <w:i/>
          <w:sz w:val="22"/>
          <w:szCs w:val="22"/>
          <w:lang w:val="uk-UA"/>
        </w:rPr>
        <w:t>prings</w:t>
      </w:r>
      <w:proofErr w:type="spellEnd"/>
    </w:p>
    <w:p w:rsidR="00F83A41" w:rsidRDefault="00F83A41" w:rsidP="00F83A41">
      <w:pPr>
        <w:tabs>
          <w:tab w:val="left" w:pos="567"/>
        </w:tabs>
        <w:spacing w:after="0"/>
        <w:ind w:firstLine="709"/>
        <w:jc w:val="both"/>
        <w:rPr>
          <w:i/>
          <w:spacing w:val="-6"/>
          <w:sz w:val="22"/>
          <w:szCs w:val="22"/>
          <w:lang w:val="uk-UA"/>
        </w:rPr>
      </w:pPr>
    </w:p>
    <w:p w:rsidR="009B3FC1" w:rsidRPr="009B3FC1" w:rsidRDefault="000D7A2E" w:rsidP="00CA6310">
      <w:pPr>
        <w:tabs>
          <w:tab w:val="left" w:pos="567"/>
        </w:tabs>
        <w:spacing w:after="0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ab/>
      </w:r>
      <w:r w:rsidR="009B3FC1">
        <w:rPr>
          <w:sz w:val="22"/>
          <w:szCs w:val="22"/>
          <w:lang w:val="uk-UA"/>
        </w:rPr>
        <w:t>У відповідності до сучасних тенденцій розвитку технологічних процесів обробки матеріалів різанням і тиском, авторами роботи розроблено ряд пристроїв для вібраційного різання та поверхневого деформаційного зміцнення деталей, в яких використанні прорізні пружини, що виконанні у вигляді комбінацій поршня з прорізною пружиною (ППП) та золотника з прорізною пружиною</w:t>
      </w:r>
      <w:r w:rsidR="002A7FA9">
        <w:rPr>
          <w:sz w:val="22"/>
          <w:szCs w:val="22"/>
          <w:lang w:val="uk-UA"/>
        </w:rPr>
        <w:t xml:space="preserve"> (ЗПП). ППП </w:t>
      </w:r>
      <w:r w:rsidR="009B3FC1">
        <w:rPr>
          <w:sz w:val="22"/>
          <w:szCs w:val="22"/>
          <w:lang w:val="uk-UA"/>
        </w:rPr>
        <w:t xml:space="preserve"> виконує функції силового (поршень гідроциліндра)</w:t>
      </w:r>
      <w:r w:rsidR="002A7FA9">
        <w:rPr>
          <w:sz w:val="22"/>
          <w:szCs w:val="22"/>
          <w:lang w:val="uk-UA"/>
        </w:rPr>
        <w:t xml:space="preserve"> та</w:t>
      </w:r>
      <w:r w:rsidR="009B3FC1">
        <w:rPr>
          <w:sz w:val="22"/>
          <w:szCs w:val="22"/>
          <w:lang w:val="uk-UA"/>
        </w:rPr>
        <w:t xml:space="preserve"> пружного елемента гідроімпульсного пристрою, в який вбудовано генератор імпульсів тиску</w:t>
      </w:r>
      <w:r w:rsidR="002A7FA9">
        <w:rPr>
          <w:sz w:val="22"/>
          <w:szCs w:val="22"/>
          <w:lang w:val="uk-UA"/>
        </w:rPr>
        <w:t xml:space="preserve"> (ГІТ)</w:t>
      </w:r>
      <w:r w:rsidR="009B3FC1">
        <w:rPr>
          <w:sz w:val="22"/>
          <w:szCs w:val="22"/>
          <w:lang w:val="uk-UA"/>
        </w:rPr>
        <w:t xml:space="preserve"> пристрою, і в процесі циклічно навантажується з частотою </w:t>
      </w:r>
      <w:r w:rsidR="002A7FA9">
        <w:rPr>
          <w:sz w:val="22"/>
          <w:szCs w:val="22"/>
          <w:lang w:val="uk-UA"/>
        </w:rPr>
        <w:t xml:space="preserve">до 200 Гц та амплітудою до 2 мм, а ЗПП, окрім функції ППП, </w:t>
      </w:r>
      <w:r w:rsidR="003A5FE8">
        <w:rPr>
          <w:sz w:val="22"/>
          <w:szCs w:val="22"/>
          <w:lang w:val="uk-UA"/>
        </w:rPr>
        <w:t>─ запірного елемента ГІТ.</w:t>
      </w:r>
      <w:r w:rsidR="002A7FA9">
        <w:rPr>
          <w:sz w:val="22"/>
          <w:szCs w:val="22"/>
          <w:lang w:val="uk-UA"/>
        </w:rPr>
        <w:t xml:space="preserve"> </w:t>
      </w:r>
      <w:r w:rsidR="009B3FC1" w:rsidRPr="009B3FC1">
        <w:rPr>
          <w:sz w:val="22"/>
          <w:szCs w:val="22"/>
          <w:lang w:val="uk-UA"/>
        </w:rPr>
        <w:t xml:space="preserve">Оскільки у відкритому друку  не виявлено результатів  досліджень  пружних  елементів високої жорстокості, типу прорізних пружин, поєднаних з силовими і розподільними  елементами  гідроімпульсних пристроїв, то доцільно розробити  методику розрахунку таких елементів на основі відомих методик розрахунку прорізних пружин.  </w:t>
      </w:r>
    </w:p>
    <w:p w:rsidR="00A55736" w:rsidRDefault="009B3FC1" w:rsidP="009B3FC1">
      <w:pPr>
        <w:spacing w:after="0"/>
        <w:ind w:firstLine="567"/>
        <w:jc w:val="both"/>
        <w:rPr>
          <w:sz w:val="22"/>
          <w:szCs w:val="22"/>
          <w:lang w:val="uk-UA"/>
        </w:rPr>
      </w:pPr>
      <w:r w:rsidRPr="009B3FC1">
        <w:rPr>
          <w:sz w:val="22"/>
          <w:szCs w:val="22"/>
          <w:lang w:val="uk-UA"/>
        </w:rPr>
        <w:t>Аналіз літ</w:t>
      </w:r>
      <w:r>
        <w:rPr>
          <w:sz w:val="22"/>
          <w:szCs w:val="22"/>
          <w:lang w:val="uk-UA"/>
        </w:rPr>
        <w:t xml:space="preserve">ературних джерел виявив дві основні методики І </w:t>
      </w:r>
      <w:r w:rsidRPr="009B3FC1">
        <w:rPr>
          <w:sz w:val="22"/>
          <w:szCs w:val="22"/>
          <w:lang w:val="uk-UA"/>
        </w:rPr>
        <w:t xml:space="preserve">[1] </w:t>
      </w:r>
      <w:r>
        <w:rPr>
          <w:sz w:val="22"/>
          <w:szCs w:val="22"/>
          <w:lang w:val="uk-UA"/>
        </w:rPr>
        <w:t>та ІІ</w:t>
      </w:r>
      <w:r w:rsidRPr="009B3FC1">
        <w:rPr>
          <w:sz w:val="22"/>
          <w:szCs w:val="22"/>
          <w:lang w:val="uk-UA"/>
        </w:rPr>
        <w:t xml:space="preserve"> [2]</w:t>
      </w:r>
      <w:r>
        <w:rPr>
          <w:sz w:val="22"/>
          <w:szCs w:val="22"/>
          <w:lang w:val="uk-UA"/>
        </w:rPr>
        <w:t xml:space="preserve"> розрахунку прорізних пружин. Методика І є більш трудомісткою порівняно із методикою ІІ</w:t>
      </w:r>
      <w:r w:rsidR="00A55736">
        <w:rPr>
          <w:sz w:val="22"/>
          <w:szCs w:val="22"/>
          <w:lang w:val="uk-UA"/>
        </w:rPr>
        <w:t>, і для того щоб виявити переваги та недоліки цих методик доцільно точність результатів розрахунку прорізних пружин за цими методиками перевірити експериментально.</w:t>
      </w:r>
    </w:p>
    <w:p w:rsidR="00EE3F5D" w:rsidRPr="00EE3F5D" w:rsidRDefault="00EE3F5D" w:rsidP="00CA6310">
      <w:pPr>
        <w:spacing w:after="0"/>
        <w:ind w:firstLine="567"/>
        <w:jc w:val="both"/>
        <w:rPr>
          <w:color w:val="222222"/>
          <w:sz w:val="22"/>
          <w:szCs w:val="22"/>
          <w:shd w:val="clear" w:color="auto" w:fill="FFFFFF"/>
          <w:lang w:val="uk-UA"/>
        </w:rPr>
      </w:pPr>
      <w:r w:rsidRPr="00EE3F5D">
        <w:rPr>
          <w:sz w:val="22"/>
          <w:szCs w:val="22"/>
          <w:lang w:val="uk-UA"/>
        </w:rPr>
        <w:t xml:space="preserve">Силові параметри </w:t>
      </w:r>
      <w:r w:rsidR="000002A3">
        <w:rPr>
          <w:sz w:val="22"/>
          <w:szCs w:val="22"/>
          <w:lang w:val="uk-UA"/>
        </w:rPr>
        <w:t xml:space="preserve">дослідного зразка </w:t>
      </w:r>
      <w:r w:rsidRPr="00EE3F5D">
        <w:rPr>
          <w:sz w:val="22"/>
          <w:szCs w:val="22"/>
          <w:lang w:val="uk-UA"/>
        </w:rPr>
        <w:t>прорізної пружини  визначались в процесі її навантаження за допомого</w:t>
      </w:r>
      <w:r>
        <w:rPr>
          <w:sz w:val="22"/>
          <w:szCs w:val="22"/>
          <w:lang w:val="uk-UA"/>
        </w:rPr>
        <w:t>ю випробувального преса ПММ-125</w:t>
      </w:r>
      <w:r w:rsidRPr="00EE3F5D">
        <w:rPr>
          <w:sz w:val="22"/>
          <w:szCs w:val="22"/>
          <w:lang w:val="uk-UA"/>
        </w:rPr>
        <w:t xml:space="preserve">. В процесі послідовної деформації пружини на пресі ПММ-125 з кроком 1 мм величина стискання  пружини  фіксувалась  індикатором годинникового типу  ИЧ-10  </w:t>
      </w:r>
      <w:r w:rsidRPr="00EE3F5D">
        <w:rPr>
          <w:sz w:val="22"/>
          <w:szCs w:val="22"/>
        </w:rPr>
        <w:t>ГОСТ 577-68</w:t>
      </w:r>
      <w:r w:rsidRPr="00EE3F5D">
        <w:rPr>
          <w:sz w:val="22"/>
          <w:szCs w:val="22"/>
          <w:lang w:val="uk-UA"/>
        </w:rPr>
        <w:t xml:space="preserve">, встановленого в штативі </w:t>
      </w:r>
      <w:r w:rsidRPr="00EE3F5D">
        <w:rPr>
          <w:color w:val="222222"/>
          <w:sz w:val="22"/>
          <w:szCs w:val="22"/>
          <w:shd w:val="clear" w:color="auto" w:fill="FFFFFF"/>
        </w:rPr>
        <w:t>ШМ-IIH-8</w:t>
      </w:r>
      <w:r w:rsidRPr="00EE3F5D">
        <w:rPr>
          <w:color w:val="222222"/>
          <w:sz w:val="22"/>
          <w:szCs w:val="22"/>
          <w:shd w:val="clear" w:color="auto" w:fill="FFFFFF"/>
          <w:lang w:val="uk-UA"/>
        </w:rPr>
        <w:t xml:space="preserve"> </w:t>
      </w:r>
      <w:r w:rsidRPr="00EE3F5D">
        <w:rPr>
          <w:color w:val="222222"/>
          <w:sz w:val="22"/>
          <w:szCs w:val="22"/>
          <w:shd w:val="clear" w:color="auto" w:fill="FFFFFF"/>
        </w:rPr>
        <w:t>ГОСТ 10197-70</w:t>
      </w:r>
      <w:r w:rsidRPr="00EE3F5D">
        <w:rPr>
          <w:color w:val="222222"/>
          <w:sz w:val="22"/>
          <w:szCs w:val="22"/>
          <w:shd w:val="clear" w:color="auto" w:fill="FFFFFF"/>
          <w:lang w:val="uk-UA"/>
        </w:rPr>
        <w:t>. Зусилля, що розвивалось пружиною на кожному  діапазоні  її деформації, фіксувалось за допомогою  динамометра пре</w:t>
      </w:r>
      <w:r>
        <w:rPr>
          <w:color w:val="222222"/>
          <w:sz w:val="22"/>
          <w:szCs w:val="22"/>
          <w:shd w:val="clear" w:color="auto" w:fill="FFFFFF"/>
          <w:lang w:val="uk-UA"/>
        </w:rPr>
        <w:t>са ПММ-125</w:t>
      </w:r>
      <w:r w:rsidRPr="00EE3F5D">
        <w:rPr>
          <w:color w:val="222222"/>
          <w:sz w:val="22"/>
          <w:szCs w:val="22"/>
          <w:shd w:val="clear" w:color="auto" w:fill="FFFFFF"/>
          <w:lang w:val="uk-UA"/>
        </w:rPr>
        <w:t>.</w:t>
      </w:r>
      <w:r>
        <w:rPr>
          <w:color w:val="222222"/>
          <w:sz w:val="22"/>
          <w:szCs w:val="22"/>
          <w:shd w:val="clear" w:color="auto" w:fill="FFFFFF"/>
          <w:lang w:val="uk-UA"/>
        </w:rPr>
        <w:t xml:space="preserve"> </w:t>
      </w:r>
      <w:r w:rsidRPr="00EE3F5D">
        <w:rPr>
          <w:color w:val="222222"/>
          <w:sz w:val="22"/>
          <w:szCs w:val="22"/>
          <w:shd w:val="clear" w:color="auto" w:fill="FFFFFF"/>
          <w:lang w:val="uk-UA"/>
        </w:rPr>
        <w:t xml:space="preserve">Силові параметри експериментального  зразка цієї пружини  за однаковими з експериментальними значеннями її деформації були розраховані за методиками І та ІІ. </w:t>
      </w:r>
      <w:r w:rsidRPr="00EE3F5D">
        <w:rPr>
          <w:sz w:val="22"/>
          <w:szCs w:val="22"/>
          <w:lang w:val="uk-UA"/>
        </w:rPr>
        <w:t xml:space="preserve">  </w:t>
      </w:r>
    </w:p>
    <w:p w:rsidR="00A55736" w:rsidRPr="00A55736" w:rsidRDefault="00A55736" w:rsidP="00A55736">
      <w:pPr>
        <w:spacing w:after="0"/>
        <w:ind w:firstLine="567"/>
        <w:jc w:val="both"/>
        <w:rPr>
          <w:sz w:val="22"/>
          <w:szCs w:val="22"/>
          <w:lang w:val="uk-UA"/>
        </w:rPr>
      </w:pPr>
      <w:r w:rsidRPr="00A55736">
        <w:rPr>
          <w:sz w:val="22"/>
          <w:szCs w:val="22"/>
          <w:lang w:val="uk-UA"/>
        </w:rPr>
        <w:t xml:space="preserve">Порівнянням експериментальних результатів із знайденими за методиками  І та ІІ виявлено, відповідно розбіжність в 6,6 % і 7 %.   Експериментально також підтверджена відсутність пружного гістерезису в досліджуваному зразку прорізної пружини, що є певним позитивом для  використання таких пружин в пристроях для віброрізання, в яких повинна забезпечуватись стабільність вібронавантаження інструмента впродовж циклу обробки деталі.  </w:t>
      </w:r>
    </w:p>
    <w:p w:rsidR="00A55736" w:rsidRPr="00A55736" w:rsidRDefault="00A55736" w:rsidP="00CA6310">
      <w:pPr>
        <w:tabs>
          <w:tab w:val="left" w:pos="142"/>
          <w:tab w:val="left" w:pos="567"/>
        </w:tabs>
        <w:spacing w:after="0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ab/>
      </w:r>
      <w:r>
        <w:rPr>
          <w:sz w:val="22"/>
          <w:szCs w:val="22"/>
          <w:lang w:val="uk-UA"/>
        </w:rPr>
        <w:tab/>
      </w:r>
      <w:r w:rsidRPr="00A55736">
        <w:rPr>
          <w:sz w:val="22"/>
          <w:szCs w:val="22"/>
          <w:lang w:val="uk-UA"/>
        </w:rPr>
        <w:t xml:space="preserve">Аналіз методик розрахунку прорізних пружин виявив, що трудомісткість методики І суттєво вища ніж методики ІІ, авторами якої є  І. А. </w:t>
      </w:r>
      <w:proofErr w:type="spellStart"/>
      <w:r w:rsidRPr="00A55736">
        <w:rPr>
          <w:sz w:val="22"/>
          <w:szCs w:val="22"/>
          <w:lang w:val="uk-UA"/>
        </w:rPr>
        <w:t>Біргер</w:t>
      </w:r>
      <w:proofErr w:type="spellEnd"/>
      <w:r w:rsidRPr="00A55736">
        <w:rPr>
          <w:sz w:val="22"/>
          <w:szCs w:val="22"/>
          <w:lang w:val="uk-UA"/>
        </w:rPr>
        <w:t>, Б.Ф.</w:t>
      </w:r>
      <w:proofErr w:type="spellStart"/>
      <w:r w:rsidRPr="00A55736">
        <w:rPr>
          <w:sz w:val="22"/>
          <w:szCs w:val="22"/>
          <w:lang w:val="uk-UA"/>
        </w:rPr>
        <w:t>Шорр</w:t>
      </w:r>
      <w:proofErr w:type="spellEnd"/>
      <w:r w:rsidRPr="00A55736">
        <w:rPr>
          <w:sz w:val="22"/>
          <w:szCs w:val="22"/>
          <w:lang w:val="uk-UA"/>
        </w:rPr>
        <w:t xml:space="preserve"> та І.А. </w:t>
      </w:r>
      <w:proofErr w:type="spellStart"/>
      <w:r w:rsidRPr="00A55736">
        <w:rPr>
          <w:sz w:val="22"/>
          <w:szCs w:val="22"/>
          <w:lang w:val="uk-UA"/>
        </w:rPr>
        <w:t>Іосілович</w:t>
      </w:r>
      <w:proofErr w:type="spellEnd"/>
      <w:r w:rsidRPr="00A55736">
        <w:rPr>
          <w:sz w:val="22"/>
          <w:szCs w:val="22"/>
          <w:lang w:val="uk-UA"/>
        </w:rPr>
        <w:t xml:space="preserve"> [</w:t>
      </w:r>
      <w:r w:rsidR="00EE7D41">
        <w:rPr>
          <w:sz w:val="22"/>
          <w:szCs w:val="22"/>
          <w:lang w:val="uk-UA"/>
        </w:rPr>
        <w:t>2</w:t>
      </w:r>
      <w:r w:rsidRPr="00A55736">
        <w:rPr>
          <w:sz w:val="22"/>
          <w:szCs w:val="22"/>
          <w:lang w:val="uk-UA"/>
        </w:rPr>
        <w:t xml:space="preserve">]. Оскільки розбіжності в точності розрахунків прорізних пружин за методиками І та ІІ і експериментальними даними практично співпадають (різниця в 0,3%), то для інженерних розрахунків прорізних пружин доцільно використовувати методику ІІ як менш трудомістку. </w:t>
      </w:r>
    </w:p>
    <w:p w:rsidR="00A55736" w:rsidRPr="00A55736" w:rsidRDefault="00A55736" w:rsidP="000002A3">
      <w:pPr>
        <w:spacing w:after="0" w:line="240" w:lineRule="auto"/>
        <w:ind w:firstLine="709"/>
        <w:jc w:val="both"/>
        <w:rPr>
          <w:sz w:val="22"/>
          <w:szCs w:val="22"/>
          <w:lang w:val="uk-UA"/>
        </w:rPr>
      </w:pPr>
    </w:p>
    <w:p w:rsidR="000002A3" w:rsidRDefault="00CA6310" w:rsidP="000002A3">
      <w:pPr>
        <w:tabs>
          <w:tab w:val="left" w:pos="426"/>
          <w:tab w:val="left" w:pos="567"/>
        </w:tabs>
        <w:spacing w:after="0"/>
        <w:jc w:val="both"/>
        <w:outlineLvl w:val="0"/>
        <w:rPr>
          <w:sz w:val="22"/>
          <w:szCs w:val="22"/>
          <w:lang w:val="uk-UA"/>
        </w:rPr>
      </w:pPr>
      <w:r w:rsidRPr="00CA6310">
        <w:rPr>
          <w:sz w:val="22"/>
          <w:szCs w:val="22"/>
          <w:lang w:val="uk-UA"/>
        </w:rPr>
        <w:t>1</w:t>
      </w:r>
      <w:r w:rsidRPr="00CA6310">
        <w:rPr>
          <w:sz w:val="22"/>
          <w:szCs w:val="22"/>
        </w:rPr>
        <w:t>. Пономарев С. Д. Расчет упругих элементов машин и приборов.  С. Д. Пономарев, Л. Е. Андреева  ─ М.: Машиностроение, 1980. ─ 326с.: ил.</w:t>
      </w:r>
    </w:p>
    <w:p w:rsidR="00235FA0" w:rsidRPr="00CA6310" w:rsidRDefault="00CA6310" w:rsidP="000002A3">
      <w:pPr>
        <w:tabs>
          <w:tab w:val="left" w:pos="426"/>
          <w:tab w:val="left" w:pos="567"/>
        </w:tabs>
        <w:spacing w:after="0"/>
        <w:jc w:val="both"/>
        <w:outlineLvl w:val="0"/>
        <w:rPr>
          <w:sz w:val="22"/>
          <w:szCs w:val="22"/>
        </w:rPr>
      </w:pPr>
      <w:r>
        <w:rPr>
          <w:sz w:val="22"/>
          <w:szCs w:val="22"/>
          <w:lang w:val="uk-UA"/>
        </w:rPr>
        <w:t>2</w:t>
      </w:r>
      <w:r w:rsidRPr="00CA6310">
        <w:rPr>
          <w:sz w:val="22"/>
          <w:szCs w:val="22"/>
        </w:rPr>
        <w:t xml:space="preserve">. </w:t>
      </w:r>
      <w:proofErr w:type="spellStart"/>
      <w:r w:rsidRPr="00CA6310">
        <w:rPr>
          <w:sz w:val="22"/>
          <w:szCs w:val="22"/>
        </w:rPr>
        <w:t>Биргер</w:t>
      </w:r>
      <w:proofErr w:type="spellEnd"/>
      <w:r w:rsidRPr="00CA6310">
        <w:rPr>
          <w:sz w:val="22"/>
          <w:szCs w:val="22"/>
        </w:rPr>
        <w:t xml:space="preserve"> И. А. Расчет на прочность деталей машин. Справочник / И. А. </w:t>
      </w:r>
      <w:proofErr w:type="spellStart"/>
      <w:r w:rsidRPr="00CA6310">
        <w:rPr>
          <w:sz w:val="22"/>
          <w:szCs w:val="22"/>
        </w:rPr>
        <w:t>Биргер</w:t>
      </w:r>
      <w:proofErr w:type="spellEnd"/>
      <w:r w:rsidRPr="00CA6310">
        <w:rPr>
          <w:sz w:val="22"/>
          <w:szCs w:val="22"/>
        </w:rPr>
        <w:t xml:space="preserve">, Б. Ф. </w:t>
      </w:r>
      <w:proofErr w:type="spellStart"/>
      <w:r w:rsidRPr="00CA6310">
        <w:rPr>
          <w:sz w:val="22"/>
          <w:szCs w:val="22"/>
        </w:rPr>
        <w:t>Шорр</w:t>
      </w:r>
      <w:proofErr w:type="spellEnd"/>
      <w:r w:rsidRPr="00CA6310">
        <w:rPr>
          <w:sz w:val="22"/>
          <w:szCs w:val="22"/>
        </w:rPr>
        <w:t xml:space="preserve">, Г. Б. </w:t>
      </w:r>
      <w:proofErr w:type="spellStart"/>
      <w:r w:rsidRPr="00CA6310">
        <w:rPr>
          <w:sz w:val="22"/>
          <w:szCs w:val="22"/>
        </w:rPr>
        <w:t>Иосилевич</w:t>
      </w:r>
      <w:proofErr w:type="spellEnd"/>
      <w:r w:rsidRPr="00CA6310">
        <w:rPr>
          <w:sz w:val="22"/>
          <w:szCs w:val="22"/>
        </w:rPr>
        <w:t xml:space="preserve">. ─ 4-е изд., </w:t>
      </w:r>
      <w:proofErr w:type="spellStart"/>
      <w:r w:rsidRPr="00CA6310">
        <w:rPr>
          <w:sz w:val="22"/>
          <w:szCs w:val="22"/>
        </w:rPr>
        <w:t>перераб</w:t>
      </w:r>
      <w:proofErr w:type="spellEnd"/>
      <w:r w:rsidRPr="00CA6310">
        <w:rPr>
          <w:sz w:val="22"/>
          <w:szCs w:val="22"/>
        </w:rPr>
        <w:t>. и доп. ─ М.: Машиностроение, 1993. ─ 640с.: ил. ─ ISBN 5-217-01304-0.</w:t>
      </w:r>
    </w:p>
    <w:sectPr w:rsidR="00235FA0" w:rsidRPr="00CA6310" w:rsidSect="000002A3">
      <w:pgSz w:w="11906" w:h="16838"/>
      <w:pgMar w:top="1134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83A41"/>
    <w:rsid w:val="000002A3"/>
    <w:rsid w:val="000D7A2E"/>
    <w:rsid w:val="00235FA0"/>
    <w:rsid w:val="00240D53"/>
    <w:rsid w:val="002A7FA9"/>
    <w:rsid w:val="00343C4F"/>
    <w:rsid w:val="003A5FE8"/>
    <w:rsid w:val="005D3300"/>
    <w:rsid w:val="00756F90"/>
    <w:rsid w:val="009B3FC1"/>
    <w:rsid w:val="00A55736"/>
    <w:rsid w:val="00AB5871"/>
    <w:rsid w:val="00AD35F7"/>
    <w:rsid w:val="00AE2E1A"/>
    <w:rsid w:val="00C71D7F"/>
    <w:rsid w:val="00C773E5"/>
    <w:rsid w:val="00CA6310"/>
    <w:rsid w:val="00D74833"/>
    <w:rsid w:val="00EE3F5D"/>
    <w:rsid w:val="00EE7D41"/>
    <w:rsid w:val="00F83A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A41"/>
    <w:rPr>
      <w:color w:val="1818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63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6310"/>
    <w:rPr>
      <w:rFonts w:ascii="Tahoma" w:hAnsi="Tahoma" w:cs="Tahoma"/>
      <w:color w:val="181818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13</cp:revision>
  <dcterms:created xsi:type="dcterms:W3CDTF">2013-04-08T19:31:00Z</dcterms:created>
  <dcterms:modified xsi:type="dcterms:W3CDTF">2013-04-09T19:18:00Z</dcterms:modified>
</cp:coreProperties>
</file>