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394" w:rsidRDefault="00D609C4" w:rsidP="00D609C4">
      <w:pPr>
        <w:spacing w:line="360" w:lineRule="auto"/>
        <w:jc w:val="right"/>
        <w:rPr>
          <w:lang w:val="uk-UA"/>
        </w:rPr>
      </w:pPr>
      <w:r>
        <w:rPr>
          <w:lang w:val="uk-UA"/>
        </w:rPr>
        <w:t xml:space="preserve">Заюков Іван, </w:t>
      </w:r>
      <w:r w:rsidR="00697F2B" w:rsidRPr="00D609C4">
        <w:rPr>
          <w:lang w:val="uk-UA"/>
        </w:rPr>
        <w:t xml:space="preserve"> к.е.н., доцент</w:t>
      </w:r>
      <w:r>
        <w:rPr>
          <w:lang w:val="uk-UA"/>
        </w:rPr>
        <w:t xml:space="preserve">, </w:t>
      </w:r>
    </w:p>
    <w:p w:rsidR="00D609C4" w:rsidRDefault="004A1394" w:rsidP="00D609C4">
      <w:pPr>
        <w:spacing w:line="360" w:lineRule="auto"/>
        <w:jc w:val="right"/>
        <w:rPr>
          <w:lang w:val="uk-UA"/>
        </w:rPr>
      </w:pPr>
      <w:r>
        <w:rPr>
          <w:lang w:val="uk-UA"/>
        </w:rPr>
        <w:t>Вінницький національний технічний університет, м. Вінниця</w:t>
      </w:r>
    </w:p>
    <w:p w:rsidR="00D609C4" w:rsidRPr="00D609C4" w:rsidRDefault="004A1394" w:rsidP="003D5734">
      <w:pPr>
        <w:autoSpaceDE w:val="0"/>
        <w:autoSpaceDN w:val="0"/>
        <w:adjustRightInd w:val="0"/>
        <w:spacing w:before="240" w:after="240" w:line="360" w:lineRule="auto"/>
        <w:jc w:val="center"/>
        <w:rPr>
          <w:b/>
          <w:lang w:val="uk-UA"/>
        </w:rPr>
      </w:pPr>
      <w:r>
        <w:rPr>
          <w:b/>
          <w:lang w:val="uk-UA"/>
        </w:rPr>
        <w:t>ЗРОСТАННЯ СЕРЕДНЬОЇ ТРИВАЛОСТІ ЖИТТЯ ЯК ЧИННИК ЗМІЦНЕННЯ НАЦІОНАЛЬНОЇ І ЕКОНОМІЧНОЇ БЕЗПЕКИ УКРАЇНИ</w:t>
      </w:r>
    </w:p>
    <w:p w:rsidR="00697F2B" w:rsidRPr="00F90345" w:rsidRDefault="004A1394" w:rsidP="004A1394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Відповідно до </w:t>
      </w:r>
      <w:r w:rsidR="00346569" w:rsidRPr="00D609C4">
        <w:rPr>
          <w:lang w:val="uk-UA"/>
        </w:rPr>
        <w:t>Закон</w:t>
      </w:r>
      <w:r>
        <w:rPr>
          <w:lang w:val="uk-UA"/>
        </w:rPr>
        <w:t>у</w:t>
      </w:r>
      <w:r w:rsidR="00346569" w:rsidRPr="00D609C4">
        <w:rPr>
          <w:lang w:val="uk-UA"/>
        </w:rPr>
        <w:t xml:space="preserve"> України «Про основи національної безпеки України» </w:t>
      </w:r>
      <w:r>
        <w:rPr>
          <w:lang w:val="uk-UA"/>
        </w:rPr>
        <w:t xml:space="preserve">реальною загрозою на сьогодні в соціально-економічній сфері є </w:t>
      </w:r>
      <w:r w:rsidR="00346569" w:rsidRPr="00D609C4">
        <w:rPr>
          <w:lang w:val="uk-UA"/>
        </w:rPr>
        <w:t>погіршення стану здоров’я населення</w:t>
      </w:r>
      <w:r>
        <w:rPr>
          <w:lang w:val="uk-UA"/>
        </w:rPr>
        <w:t xml:space="preserve">, </w:t>
      </w:r>
      <w:r w:rsidRPr="00F90345">
        <w:rPr>
          <w:lang w:val="uk-UA"/>
        </w:rPr>
        <w:t>особливо його працездатної частини</w:t>
      </w:r>
      <w:r w:rsidR="00346569" w:rsidRPr="00F90345">
        <w:rPr>
          <w:lang w:val="uk-UA"/>
        </w:rPr>
        <w:t>; поширення соціальних хвороб, загострення демографічної кризи, поси</w:t>
      </w:r>
      <w:r w:rsidRPr="00F90345">
        <w:rPr>
          <w:lang w:val="uk-UA"/>
        </w:rPr>
        <w:t>лення тенденції старіння нації</w:t>
      </w:r>
      <w:r w:rsidR="00676DD7">
        <w:rPr>
          <w:lang w:val="en-US"/>
        </w:rPr>
        <w:t xml:space="preserve"> </w:t>
      </w:r>
      <w:r w:rsidR="00676DD7">
        <w:rPr>
          <w:lang w:val="uk-UA"/>
        </w:rPr>
        <w:t>тощо</w:t>
      </w:r>
      <w:r w:rsidRPr="00F90345">
        <w:rPr>
          <w:lang w:val="uk-UA"/>
        </w:rPr>
        <w:t xml:space="preserve">. </w:t>
      </w:r>
    </w:p>
    <w:p w:rsidR="00F90345" w:rsidRDefault="00F90345" w:rsidP="00341239">
      <w:pPr>
        <w:spacing w:line="360" w:lineRule="auto"/>
        <w:ind w:firstLine="567"/>
        <w:jc w:val="both"/>
        <w:rPr>
          <w:lang w:val="uk-UA"/>
        </w:rPr>
      </w:pPr>
      <w:r w:rsidRPr="00F90345">
        <w:rPr>
          <w:lang w:val="uk-UA"/>
        </w:rPr>
        <w:t xml:space="preserve">Щорічно економіка України через втрати </w:t>
      </w:r>
      <w:r w:rsidR="00676DD7">
        <w:rPr>
          <w:lang w:val="uk-UA"/>
        </w:rPr>
        <w:t>людського і трудового капіталу</w:t>
      </w:r>
      <w:r w:rsidRPr="00F90345">
        <w:rPr>
          <w:lang w:val="uk-UA"/>
        </w:rPr>
        <w:t xml:space="preserve"> втрачає колосальні суми. За нашими підрахунками, через високу смертність населення </w:t>
      </w:r>
      <w:r>
        <w:rPr>
          <w:lang w:val="uk-UA"/>
        </w:rPr>
        <w:t>від ендогенних</w:t>
      </w:r>
      <w:r w:rsidRPr="00F90345">
        <w:rPr>
          <w:lang w:val="uk-UA"/>
        </w:rPr>
        <w:t xml:space="preserve"> причин</w:t>
      </w:r>
      <w:r w:rsidR="00676DD7">
        <w:rPr>
          <w:lang w:val="uk-UA"/>
        </w:rPr>
        <w:t>,</w:t>
      </w:r>
      <w:r w:rsidRPr="00F90345">
        <w:rPr>
          <w:lang w:val="uk-UA"/>
        </w:rPr>
        <w:t xml:space="preserve"> економічні втрати для нашої економіки в </w:t>
      </w:r>
      <w:r>
        <w:rPr>
          <w:lang w:val="uk-UA"/>
        </w:rPr>
        <w:t>2006 році склали 16,5 млрд. грн., а в</w:t>
      </w:r>
      <w:r w:rsidRPr="00F90345">
        <w:rPr>
          <w:lang w:val="uk-UA"/>
        </w:rPr>
        <w:t xml:space="preserve">ід екзогенних причин </w:t>
      </w:r>
      <w:r>
        <w:rPr>
          <w:lang w:val="uk-UA"/>
        </w:rPr>
        <w:t xml:space="preserve">− </w:t>
      </w:r>
      <w:r w:rsidRPr="00F90345">
        <w:rPr>
          <w:lang w:val="uk-UA"/>
        </w:rPr>
        <w:t>8,9 млрд. грн.</w:t>
      </w:r>
      <w:r w:rsidR="003B42CF">
        <w:rPr>
          <w:lang w:val="uk-UA"/>
        </w:rPr>
        <w:t xml:space="preserve"> Вагомим чинником поліпшення зазначеної ситуації (на сучасному етапі розвитку економіки) є активізація і інтенсифікація процесів розвитку складових людського капіталу</w:t>
      </w:r>
      <w:r w:rsidR="0011717B">
        <w:rPr>
          <w:lang w:val="uk-UA"/>
        </w:rPr>
        <w:t xml:space="preserve">, у тому числі </w:t>
      </w:r>
      <w:r w:rsidR="003B42CF">
        <w:rPr>
          <w:lang w:val="uk-UA"/>
        </w:rPr>
        <w:t>шляхом поліпшення стану здоров’</w:t>
      </w:r>
      <w:r w:rsidR="0011717B">
        <w:rPr>
          <w:lang w:val="uk-UA"/>
        </w:rPr>
        <w:t>я населення</w:t>
      </w:r>
      <w:r w:rsidR="003B42CF">
        <w:rPr>
          <w:lang w:val="uk-UA"/>
        </w:rPr>
        <w:t xml:space="preserve">. </w:t>
      </w:r>
      <w:r w:rsidR="00341239">
        <w:rPr>
          <w:lang w:val="uk-UA"/>
        </w:rPr>
        <w:t xml:space="preserve">Оскільки, на сьогодні, істотно виправити ситуацію із катастрофою в сфері здоров’я громадян не можна, то залишається шукати інші вагомі резерви, які  </w:t>
      </w:r>
      <w:r w:rsidR="00676DD7">
        <w:rPr>
          <w:lang w:val="uk-UA"/>
        </w:rPr>
        <w:t xml:space="preserve">б </w:t>
      </w:r>
      <w:r w:rsidR="00341239">
        <w:rPr>
          <w:lang w:val="uk-UA"/>
        </w:rPr>
        <w:t>дозволили залишатись більше</w:t>
      </w:r>
      <w:r w:rsidR="00676DD7">
        <w:rPr>
          <w:lang w:val="uk-UA"/>
        </w:rPr>
        <w:t xml:space="preserve"> часу громадянам на ринку праці. Це збільшить</w:t>
      </w:r>
      <w:r w:rsidR="00341239">
        <w:rPr>
          <w:lang w:val="uk-UA"/>
        </w:rPr>
        <w:t xml:space="preserve"> рівень </w:t>
      </w:r>
      <w:r w:rsidR="0011717B">
        <w:rPr>
          <w:lang w:val="uk-UA"/>
        </w:rPr>
        <w:t xml:space="preserve">їх </w:t>
      </w:r>
      <w:r w:rsidR="00676DD7">
        <w:rPr>
          <w:lang w:val="uk-UA"/>
        </w:rPr>
        <w:t>економічної активності та забезпечить</w:t>
      </w:r>
      <w:r w:rsidR="00341239">
        <w:rPr>
          <w:lang w:val="uk-UA"/>
        </w:rPr>
        <w:t xml:space="preserve"> достатню економічну і фінансо</w:t>
      </w:r>
      <w:r w:rsidR="00676DD7">
        <w:rPr>
          <w:lang w:val="uk-UA"/>
        </w:rPr>
        <w:t xml:space="preserve">ву безпеку </w:t>
      </w:r>
      <w:r w:rsidR="00341239">
        <w:rPr>
          <w:lang w:val="uk-UA"/>
        </w:rPr>
        <w:t xml:space="preserve">країні. Таким резервом, на нашу думку, є  зростання </w:t>
      </w:r>
      <w:r w:rsidRPr="00D609C4">
        <w:rPr>
          <w:lang w:val="uk-UA"/>
        </w:rPr>
        <w:t xml:space="preserve">середньої тривалості життя. За даними </w:t>
      </w:r>
      <w:r w:rsidR="0011717B">
        <w:rPr>
          <w:lang w:val="uk-UA"/>
        </w:rPr>
        <w:t>[1</w:t>
      </w:r>
      <w:r w:rsidR="0011717B" w:rsidRPr="00D609C4">
        <w:rPr>
          <w:lang w:val="uk-UA"/>
        </w:rPr>
        <w:t>]</w:t>
      </w:r>
      <w:r w:rsidR="0011717B">
        <w:rPr>
          <w:lang w:val="uk-UA"/>
        </w:rPr>
        <w:t xml:space="preserve"> </w:t>
      </w:r>
      <w:r w:rsidRPr="00D609C4">
        <w:rPr>
          <w:lang w:val="uk-UA"/>
        </w:rPr>
        <w:t xml:space="preserve">в 2012 році порівняно з 1991 роком середня очікувана тривалість життя зросла в Україні на 1,85 року (для обох статей), а до 2050 року зросте на 6,2 року та буде становити 75,5 років. </w:t>
      </w:r>
    </w:p>
    <w:p w:rsidR="0011717B" w:rsidRDefault="00341239" w:rsidP="00341239">
      <w:pPr>
        <w:spacing w:line="360" w:lineRule="auto"/>
        <w:ind w:firstLine="567"/>
        <w:jc w:val="both"/>
        <w:rPr>
          <w:lang w:val="uk-UA"/>
        </w:rPr>
      </w:pPr>
      <w:r w:rsidRPr="00D609C4">
        <w:rPr>
          <w:lang w:val="uk-UA"/>
        </w:rPr>
        <w:t>Оцінити вплив поганого здоров’я людини як фактора людського капіталу на економіку країни вкрай важко. В світовій практиці впли</w:t>
      </w:r>
      <w:r w:rsidR="0011717B">
        <w:rPr>
          <w:lang w:val="uk-UA"/>
        </w:rPr>
        <w:t>в здоров’я на розвиток економіки</w:t>
      </w:r>
      <w:r w:rsidRPr="00D609C4">
        <w:rPr>
          <w:lang w:val="uk-UA"/>
        </w:rPr>
        <w:t xml:space="preserve">  визначають через суспільну корисність від збільшення тривалості життя і рівня доходу. </w:t>
      </w:r>
      <w:r w:rsidR="0011717B">
        <w:rPr>
          <w:lang w:val="uk-UA"/>
        </w:rPr>
        <w:t>В багатьох працях</w:t>
      </w:r>
      <w:r w:rsidR="00676DD7" w:rsidRPr="00676DD7">
        <w:rPr>
          <w:lang w:val="uk-UA"/>
        </w:rPr>
        <w:t xml:space="preserve"> </w:t>
      </w:r>
      <w:r w:rsidR="00676DD7">
        <w:rPr>
          <w:lang w:val="uk-UA"/>
        </w:rPr>
        <w:t>закордонних вчених</w:t>
      </w:r>
      <w:r w:rsidR="0011717B">
        <w:rPr>
          <w:lang w:val="uk-UA"/>
        </w:rPr>
        <w:t xml:space="preserve"> </w:t>
      </w:r>
      <w:r w:rsidR="00676DD7">
        <w:rPr>
          <w:lang w:val="uk-UA"/>
        </w:rPr>
        <w:t>суспільна</w:t>
      </w:r>
      <w:r w:rsidR="0011717B">
        <w:rPr>
          <w:lang w:val="uk-UA"/>
        </w:rPr>
        <w:t xml:space="preserve"> корисність</w:t>
      </w:r>
      <w:r w:rsidR="00676DD7">
        <w:rPr>
          <w:lang w:val="uk-UA"/>
        </w:rPr>
        <w:t xml:space="preserve"> залежить</w:t>
      </w:r>
      <w:r w:rsidR="0011717B">
        <w:rPr>
          <w:lang w:val="uk-UA"/>
        </w:rPr>
        <w:t xml:space="preserve"> від двох основних </w:t>
      </w:r>
      <w:r w:rsidR="00676DD7">
        <w:rPr>
          <w:lang w:val="uk-UA"/>
        </w:rPr>
        <w:t>факторів −</w:t>
      </w:r>
      <w:r w:rsidR="0011717B">
        <w:rPr>
          <w:lang w:val="uk-UA"/>
        </w:rPr>
        <w:t xml:space="preserve"> середньої тривалості життя </w:t>
      </w:r>
      <w:r w:rsidRPr="00D609C4">
        <w:rPr>
          <w:lang w:val="uk-UA"/>
        </w:rPr>
        <w:t xml:space="preserve"> та доходу </w:t>
      </w:r>
      <w:r w:rsidRPr="00D609C4">
        <w:rPr>
          <w:lang w:val="en-US"/>
        </w:rPr>
        <w:t>(</w:t>
      </w:r>
      <w:r w:rsidR="0011717B">
        <w:rPr>
          <w:lang w:val="uk-UA"/>
        </w:rPr>
        <w:t>ВВП на душу населення</w:t>
      </w:r>
      <w:r w:rsidRPr="00D609C4">
        <w:rPr>
          <w:lang w:val="en-US"/>
        </w:rPr>
        <w:t>)</w:t>
      </w:r>
      <w:r w:rsidR="0011717B">
        <w:rPr>
          <w:lang w:val="uk-UA"/>
        </w:rPr>
        <w:t>.</w:t>
      </w:r>
      <w:r w:rsidR="00AA785C">
        <w:rPr>
          <w:lang w:val="uk-UA"/>
        </w:rPr>
        <w:t xml:space="preserve"> </w:t>
      </w:r>
    </w:p>
    <w:p w:rsidR="00AA785C" w:rsidRDefault="00FE0366" w:rsidP="00FE0366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В роботі </w:t>
      </w:r>
      <w:r w:rsidR="00676DD7">
        <w:rPr>
          <w:lang w:val="uk-UA"/>
        </w:rPr>
        <w:t>спробуємо виявити  взаємозв’язок між змінами показників</w:t>
      </w:r>
      <w:r w:rsidR="00AA785C">
        <w:rPr>
          <w:lang w:val="uk-UA"/>
        </w:rPr>
        <w:t xml:space="preserve"> середньо</w:t>
      </w:r>
      <w:r w:rsidR="00676DD7">
        <w:rPr>
          <w:lang w:val="uk-UA"/>
        </w:rPr>
        <w:t>ї очікуваної тривалості життя та</w:t>
      </w:r>
      <w:r w:rsidR="00AA785C">
        <w:rPr>
          <w:lang w:val="uk-UA"/>
        </w:rPr>
        <w:t xml:space="preserve"> зростання</w:t>
      </w:r>
      <w:r w:rsidR="00676DD7">
        <w:rPr>
          <w:lang w:val="uk-UA"/>
        </w:rPr>
        <w:t>м</w:t>
      </w:r>
      <w:r w:rsidR="00AA785C">
        <w:rPr>
          <w:lang w:val="uk-UA"/>
        </w:rPr>
        <w:t xml:space="preserve"> (зниження</w:t>
      </w:r>
      <w:r w:rsidR="00676DD7">
        <w:rPr>
          <w:lang w:val="uk-UA"/>
        </w:rPr>
        <w:t>м</w:t>
      </w:r>
      <w:r w:rsidR="00AA785C">
        <w:rPr>
          <w:lang w:val="uk-UA"/>
        </w:rPr>
        <w:t>) темпів розвитку економіки</w:t>
      </w:r>
      <w:r>
        <w:rPr>
          <w:lang w:val="uk-UA"/>
        </w:rPr>
        <w:t>. Для цього</w:t>
      </w:r>
      <w:r w:rsidR="00AA785C">
        <w:rPr>
          <w:lang w:val="uk-UA"/>
        </w:rPr>
        <w:t xml:space="preserve"> </w:t>
      </w:r>
      <w:r>
        <w:rPr>
          <w:lang w:val="uk-UA"/>
        </w:rPr>
        <w:t xml:space="preserve">використаємо  статистичні дані </w:t>
      </w:r>
      <w:r w:rsidR="00676DD7">
        <w:rPr>
          <w:lang w:val="uk-UA"/>
        </w:rPr>
        <w:t>[2] (</w:t>
      </w:r>
      <w:r>
        <w:rPr>
          <w:lang w:val="uk-UA"/>
        </w:rPr>
        <w:t xml:space="preserve">середньої тривалості життя </w:t>
      </w:r>
      <w:r w:rsidR="00676DD7">
        <w:rPr>
          <w:lang w:val="uk-UA"/>
        </w:rPr>
        <w:t>і  вартість</w:t>
      </w:r>
      <w:r>
        <w:rPr>
          <w:lang w:val="uk-UA"/>
        </w:rPr>
        <w:t xml:space="preserve"> </w:t>
      </w:r>
      <w:r w:rsidR="00676DD7">
        <w:rPr>
          <w:lang w:val="uk-UA"/>
        </w:rPr>
        <w:t xml:space="preserve">його </w:t>
      </w:r>
      <w:r>
        <w:rPr>
          <w:lang w:val="uk-UA"/>
        </w:rPr>
        <w:t>приросту в перер</w:t>
      </w:r>
      <w:r w:rsidR="00676DD7">
        <w:rPr>
          <w:lang w:val="uk-UA"/>
        </w:rPr>
        <w:t>ахунку на рік додаткового життя</w:t>
      </w:r>
      <w:r>
        <w:rPr>
          <w:lang w:val="uk-UA"/>
        </w:rPr>
        <w:t>, дол. США з урахуванням ПКС</w:t>
      </w:r>
      <w:r w:rsidR="00676DD7">
        <w:rPr>
          <w:lang w:val="uk-UA"/>
        </w:rPr>
        <w:t>)</w:t>
      </w:r>
      <w:r>
        <w:rPr>
          <w:lang w:val="uk-UA"/>
        </w:rPr>
        <w:t xml:space="preserve"> </w:t>
      </w:r>
      <w:r w:rsidR="00676DD7">
        <w:rPr>
          <w:lang w:val="uk-UA"/>
        </w:rPr>
        <w:t>та відобразимо їх на рисунку</w:t>
      </w:r>
      <w:r w:rsidR="008B40D3">
        <w:rPr>
          <w:lang w:val="uk-UA"/>
        </w:rPr>
        <w:t xml:space="preserve"> 1.  </w:t>
      </w:r>
      <w:r w:rsidR="00676DD7">
        <w:rPr>
          <w:lang w:val="uk-UA"/>
        </w:rPr>
        <w:t xml:space="preserve">Проаналізуємо </w:t>
      </w:r>
      <w:r w:rsidR="008B40D3">
        <w:rPr>
          <w:lang w:val="uk-UA"/>
        </w:rPr>
        <w:t xml:space="preserve"> дві групи країн, перша – розвинені країни</w:t>
      </w:r>
      <w:r w:rsidR="00676DD7">
        <w:rPr>
          <w:lang w:val="uk-UA"/>
        </w:rPr>
        <w:t xml:space="preserve"> (Франція, </w:t>
      </w:r>
      <w:r w:rsidR="00B2689C">
        <w:rPr>
          <w:lang w:val="uk-UA"/>
        </w:rPr>
        <w:t>Швеція, Австрія</w:t>
      </w:r>
      <w:r w:rsidR="00003ED4">
        <w:rPr>
          <w:lang w:val="uk-UA"/>
        </w:rPr>
        <w:t xml:space="preserve"> та ін.</w:t>
      </w:r>
      <w:r w:rsidR="00B2689C">
        <w:rPr>
          <w:lang w:val="uk-UA"/>
        </w:rPr>
        <w:t>)</w:t>
      </w:r>
      <w:r w:rsidR="008B40D3">
        <w:rPr>
          <w:lang w:val="uk-UA"/>
        </w:rPr>
        <w:t xml:space="preserve">, </w:t>
      </w:r>
      <w:r w:rsidR="00F03469">
        <w:rPr>
          <w:lang w:val="uk-UA"/>
        </w:rPr>
        <w:t xml:space="preserve">друга – країни </w:t>
      </w:r>
      <w:r w:rsidR="008B40D3">
        <w:rPr>
          <w:lang w:val="uk-UA"/>
        </w:rPr>
        <w:t xml:space="preserve">СНД (Білорусь, Грузія, Молдова, Росія, Україна). </w:t>
      </w:r>
      <w:r w:rsidR="00F03469">
        <w:rPr>
          <w:lang w:val="uk-UA"/>
        </w:rPr>
        <w:t xml:space="preserve">Статистичні дані для першої групи країн наведені за </w:t>
      </w:r>
      <w:r w:rsidR="008B40D3">
        <w:rPr>
          <w:lang w:val="uk-UA"/>
        </w:rPr>
        <w:t xml:space="preserve">1970 та 2003 рік, для другої </w:t>
      </w:r>
      <w:r w:rsidR="00F03469">
        <w:rPr>
          <w:lang w:val="uk-UA"/>
        </w:rPr>
        <w:t>за</w:t>
      </w:r>
      <w:r w:rsidR="008B40D3">
        <w:rPr>
          <w:lang w:val="uk-UA"/>
        </w:rPr>
        <w:t xml:space="preserve"> 1990 та 2003 рік.</w:t>
      </w:r>
    </w:p>
    <w:p w:rsidR="00FE0366" w:rsidRDefault="006E3A1B" w:rsidP="00341239">
      <w:pPr>
        <w:spacing w:line="360" w:lineRule="auto"/>
        <w:ind w:firstLine="567"/>
        <w:jc w:val="both"/>
        <w:rPr>
          <w:lang w:val="uk-UA"/>
        </w:rPr>
      </w:pPr>
      <w:r w:rsidRPr="006E3A1B">
        <w:rPr>
          <w:noProof/>
        </w:rPr>
        <w:lastRenderedPageBreak/>
        <w:drawing>
          <wp:inline distT="0" distB="0" distL="0" distR="0">
            <wp:extent cx="5570113" cy="2369713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E0366" w:rsidRDefault="006E3A1B" w:rsidP="005A70F9">
      <w:pPr>
        <w:spacing w:line="360" w:lineRule="auto"/>
        <w:ind w:firstLine="567"/>
        <w:jc w:val="center"/>
        <w:rPr>
          <w:lang w:val="uk-UA"/>
        </w:rPr>
      </w:pPr>
      <w:r>
        <w:rPr>
          <w:lang w:val="uk-UA"/>
        </w:rPr>
        <w:t xml:space="preserve">Рисунок 1 </w:t>
      </w:r>
      <w:r w:rsidR="008B40D3">
        <w:rPr>
          <w:lang w:val="uk-UA"/>
        </w:rPr>
        <w:t>–</w:t>
      </w:r>
      <w:r>
        <w:rPr>
          <w:lang w:val="uk-UA"/>
        </w:rPr>
        <w:t xml:space="preserve"> </w:t>
      </w:r>
      <w:r w:rsidR="008B40D3">
        <w:rPr>
          <w:lang w:val="uk-UA"/>
        </w:rPr>
        <w:t>Дослідження гіпотетичного зв’язку між зростанням</w:t>
      </w:r>
      <w:r w:rsidR="00155AD0">
        <w:rPr>
          <w:lang w:val="uk-UA"/>
        </w:rPr>
        <w:t xml:space="preserve"> (зменшенням)</w:t>
      </w:r>
      <w:r w:rsidR="008B40D3">
        <w:rPr>
          <w:lang w:val="uk-UA"/>
        </w:rPr>
        <w:t xml:space="preserve"> тривалості життя і вартості </w:t>
      </w:r>
      <w:r w:rsidR="003D5734">
        <w:rPr>
          <w:lang w:val="uk-UA"/>
        </w:rPr>
        <w:t xml:space="preserve">його </w:t>
      </w:r>
      <w:r w:rsidR="008B40D3">
        <w:rPr>
          <w:lang w:val="uk-UA"/>
        </w:rPr>
        <w:t xml:space="preserve">приросту </w:t>
      </w:r>
    </w:p>
    <w:p w:rsidR="00FA06E5" w:rsidRPr="00D609C4" w:rsidRDefault="00FA06E5" w:rsidP="00FA06E5">
      <w:pPr>
        <w:spacing w:line="36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Отже, дані рисунку 1 цілком дають підстави </w:t>
      </w:r>
      <w:r w:rsidR="00155AD0">
        <w:rPr>
          <w:lang w:val="uk-UA"/>
        </w:rPr>
        <w:t xml:space="preserve">вважати, що ті розвинені країни, де </w:t>
      </w:r>
      <w:r>
        <w:rPr>
          <w:lang w:val="uk-UA"/>
        </w:rPr>
        <w:t xml:space="preserve">середня тривалість життя в 2003 році порівняно з 1970 роком значно зросла, мають зростання ВВП на одного громадянина. Так, видно, що чим більше росте середня тривалість життя, тим більше приріст ВВП за ПКС. Крім того, зафіксована обернена тенденція в країнах СНД (за період </w:t>
      </w:r>
      <w:r w:rsidR="00003ED4">
        <w:rPr>
          <w:lang w:val="uk-UA"/>
        </w:rPr>
        <w:t>1990−2003 років), що свідчить про зниження середньої тривалості життя та добробуту цих країн</w:t>
      </w:r>
      <w:r>
        <w:rPr>
          <w:lang w:val="uk-UA"/>
        </w:rPr>
        <w:t>. За наявними даними в</w:t>
      </w:r>
      <w:r w:rsidRPr="00D609C4">
        <w:rPr>
          <w:lang w:val="uk-UA"/>
        </w:rPr>
        <w:t>ажко</w:t>
      </w:r>
      <w:r>
        <w:rPr>
          <w:lang w:val="uk-UA"/>
        </w:rPr>
        <w:t xml:space="preserve"> оцінити вплив рівня здоров’я на зростання економіки</w:t>
      </w:r>
      <w:r w:rsidRPr="00D609C4">
        <w:rPr>
          <w:lang w:val="uk-UA"/>
        </w:rPr>
        <w:t>, але показник ВВП на душу населення і середня очікувана тривалість життя можуть опосередковано показувати суспільну корисність від того, що люди мають кращий стан здоров’я і здатні приносити додатковий дохід державі.</w:t>
      </w:r>
    </w:p>
    <w:p w:rsidR="00346569" w:rsidRDefault="00346569" w:rsidP="007F2783">
      <w:pPr>
        <w:spacing w:line="360" w:lineRule="auto"/>
        <w:ind w:firstLine="567"/>
        <w:jc w:val="both"/>
        <w:rPr>
          <w:lang w:val="uk-UA"/>
        </w:rPr>
      </w:pPr>
      <w:r w:rsidRPr="00D609C4">
        <w:rPr>
          <w:lang w:val="uk-UA"/>
        </w:rPr>
        <w:t xml:space="preserve">Отже, можна констатувати, що зменшення чисельності осіб з високими показниками здоров’я, зростання рівня смертності людей працездатного віку, </w:t>
      </w:r>
      <w:r w:rsidR="007F2783">
        <w:rPr>
          <w:lang w:val="uk-UA"/>
        </w:rPr>
        <w:t xml:space="preserve"> загострення </w:t>
      </w:r>
      <w:r w:rsidRPr="00D609C4">
        <w:rPr>
          <w:lang w:val="uk-UA"/>
        </w:rPr>
        <w:t>демографічної кризи</w:t>
      </w:r>
      <w:r w:rsidR="007F2783">
        <w:rPr>
          <w:lang w:val="uk-UA"/>
        </w:rPr>
        <w:t xml:space="preserve"> України</w:t>
      </w:r>
      <w:r w:rsidRPr="00D609C4">
        <w:rPr>
          <w:lang w:val="uk-UA"/>
        </w:rPr>
        <w:t>,</w:t>
      </w:r>
      <w:r w:rsidR="00003ED4">
        <w:rPr>
          <w:lang w:val="uk-UA"/>
        </w:rPr>
        <w:t xml:space="preserve"> зниження середньої тривалості життя</w:t>
      </w:r>
      <w:r w:rsidRPr="00D609C4">
        <w:rPr>
          <w:lang w:val="uk-UA"/>
        </w:rPr>
        <w:t xml:space="preserve"> створює реальну небезпеку відтворення низьких показників здоров’я наступних поколінь та в цілому загрозу національній</w:t>
      </w:r>
      <w:r w:rsidR="00155AD0">
        <w:rPr>
          <w:lang w:val="uk-UA"/>
        </w:rPr>
        <w:t xml:space="preserve"> і економічній</w:t>
      </w:r>
      <w:r w:rsidRPr="00D609C4">
        <w:rPr>
          <w:lang w:val="uk-UA"/>
        </w:rPr>
        <w:t xml:space="preserve"> безпеці.</w:t>
      </w:r>
      <w:r w:rsidR="00003ED4">
        <w:rPr>
          <w:lang w:val="uk-UA"/>
        </w:rPr>
        <w:t xml:space="preserve"> Таким чином,</w:t>
      </w:r>
      <w:r w:rsidR="00200E10">
        <w:rPr>
          <w:lang w:val="uk-UA"/>
        </w:rPr>
        <w:t xml:space="preserve"> поруч із позитивними тенденціями зростання середньої очікуваної тривалості життя</w:t>
      </w:r>
      <w:r w:rsidR="007F2783">
        <w:rPr>
          <w:lang w:val="uk-UA"/>
        </w:rPr>
        <w:t xml:space="preserve"> необхідно впроваджувати концепцію збереження життя та здоров’я </w:t>
      </w:r>
      <w:r w:rsidR="00200E10">
        <w:rPr>
          <w:lang w:val="uk-UA"/>
        </w:rPr>
        <w:t xml:space="preserve">громадян нашої країни </w:t>
      </w:r>
      <w:r w:rsidR="007F2783">
        <w:rPr>
          <w:lang w:val="uk-UA"/>
        </w:rPr>
        <w:t>(концепція здорового способу</w:t>
      </w:r>
      <w:r w:rsidR="00003ED4">
        <w:rPr>
          <w:lang w:val="uk-UA"/>
        </w:rPr>
        <w:t xml:space="preserve"> життя або вітальної поведінки), що поступово підвищить рівень</w:t>
      </w:r>
      <w:r w:rsidR="007F2783">
        <w:rPr>
          <w:lang w:val="uk-UA"/>
        </w:rPr>
        <w:t xml:space="preserve"> т</w:t>
      </w:r>
      <w:r w:rsidR="00155AD0">
        <w:rPr>
          <w:lang w:val="uk-UA"/>
        </w:rPr>
        <w:t>рудового і людського  капіталів</w:t>
      </w:r>
      <w:r w:rsidR="007F2783">
        <w:rPr>
          <w:lang w:val="uk-UA"/>
        </w:rPr>
        <w:t xml:space="preserve">, а також </w:t>
      </w:r>
      <w:r w:rsidR="00003ED4">
        <w:rPr>
          <w:lang w:val="uk-UA"/>
        </w:rPr>
        <w:t>посилить</w:t>
      </w:r>
      <w:r w:rsidR="007F2783">
        <w:rPr>
          <w:lang w:val="uk-UA"/>
        </w:rPr>
        <w:t xml:space="preserve"> </w:t>
      </w:r>
      <w:r w:rsidR="00003ED4">
        <w:rPr>
          <w:lang w:val="uk-UA"/>
        </w:rPr>
        <w:t>рівень</w:t>
      </w:r>
      <w:r w:rsidR="007F2783">
        <w:rPr>
          <w:lang w:val="uk-UA"/>
        </w:rPr>
        <w:t xml:space="preserve"> національної, у тому числі фінансово-економічної безпеки України.</w:t>
      </w:r>
    </w:p>
    <w:p w:rsidR="007F2783" w:rsidRPr="00155AD0" w:rsidRDefault="007F2783" w:rsidP="003F7A82">
      <w:pPr>
        <w:spacing w:line="360" w:lineRule="auto"/>
        <w:ind w:firstLine="567"/>
        <w:jc w:val="center"/>
        <w:rPr>
          <w:b/>
          <w:lang w:val="uk-UA"/>
        </w:rPr>
      </w:pPr>
      <w:r w:rsidRPr="00155AD0">
        <w:rPr>
          <w:b/>
          <w:lang w:val="uk-UA"/>
        </w:rPr>
        <w:t>Література</w:t>
      </w:r>
    </w:p>
    <w:p w:rsidR="00B92822" w:rsidRPr="00155AD0" w:rsidRDefault="00B92822" w:rsidP="003F7A82">
      <w:pPr>
        <w:pStyle w:val="a7"/>
        <w:numPr>
          <w:ilvl w:val="0"/>
          <w:numId w:val="1"/>
        </w:numPr>
        <w:spacing w:line="360" w:lineRule="auto"/>
        <w:ind w:left="0" w:firstLine="851"/>
        <w:jc w:val="both"/>
        <w:rPr>
          <w:lang w:val="en-US"/>
        </w:rPr>
      </w:pPr>
      <w:r w:rsidRPr="00155AD0">
        <w:rPr>
          <w:lang w:val="uk-UA"/>
        </w:rPr>
        <w:t>Населення України. Офіційний сайт державної служби статистики України</w:t>
      </w:r>
      <w:r w:rsidR="00880D1F" w:rsidRPr="00155AD0">
        <w:rPr>
          <w:lang w:val="uk-UA"/>
        </w:rPr>
        <w:t xml:space="preserve"> [Електронний ресурс]. –</w:t>
      </w:r>
      <w:r w:rsidR="00880D1F" w:rsidRPr="00155AD0">
        <w:rPr>
          <w:sz w:val="32"/>
          <w:szCs w:val="32"/>
          <w:lang w:val="uk-UA"/>
        </w:rPr>
        <w:t xml:space="preserve"> </w:t>
      </w:r>
      <w:r w:rsidRPr="00155AD0">
        <w:rPr>
          <w:lang w:val="uk-UA"/>
        </w:rPr>
        <w:t xml:space="preserve"> Режим доступу: http// </w:t>
      </w:r>
      <w:hyperlink r:id="rId8" w:history="1">
        <w:r w:rsidRPr="00155AD0">
          <w:rPr>
            <w:rStyle w:val="a8"/>
            <w:lang w:val="uk-UA"/>
          </w:rPr>
          <w:t>www.</w:t>
        </w:r>
        <w:r w:rsidRPr="00155AD0">
          <w:rPr>
            <w:rStyle w:val="a8"/>
            <w:lang w:val="en-US"/>
          </w:rPr>
          <w:t>ukrstst.gov.ua</w:t>
        </w:r>
      </w:hyperlink>
      <w:r w:rsidRPr="00155AD0">
        <w:rPr>
          <w:lang w:val="en-US"/>
        </w:rPr>
        <w:t>.</w:t>
      </w:r>
    </w:p>
    <w:p w:rsidR="00B92822" w:rsidRPr="00155AD0" w:rsidRDefault="00B92822" w:rsidP="0088044D">
      <w:pPr>
        <w:pStyle w:val="a7"/>
        <w:numPr>
          <w:ilvl w:val="0"/>
          <w:numId w:val="1"/>
        </w:numPr>
        <w:spacing w:line="360" w:lineRule="auto"/>
        <w:ind w:left="0" w:firstLine="567"/>
        <w:jc w:val="both"/>
        <w:rPr>
          <w:b/>
          <w:lang w:val="uk-UA"/>
        </w:rPr>
      </w:pPr>
      <w:r w:rsidRPr="00155AD0">
        <w:rPr>
          <w:lang w:val="en-US" w:eastAsia="en-US"/>
        </w:rPr>
        <w:t>Becker G</w:t>
      </w:r>
      <w:r w:rsidRPr="00155AD0">
        <w:rPr>
          <w:lang w:val="uk-UA" w:eastAsia="en-US"/>
        </w:rPr>
        <w:t xml:space="preserve">. </w:t>
      </w:r>
      <w:r w:rsidRPr="00155AD0">
        <w:rPr>
          <w:lang w:val="en-US" w:eastAsia="en-US"/>
        </w:rPr>
        <w:t>S</w:t>
      </w:r>
      <w:r w:rsidRPr="00155AD0">
        <w:rPr>
          <w:lang w:val="uk-UA" w:eastAsia="en-US"/>
        </w:rPr>
        <w:t>.</w:t>
      </w:r>
      <w:r w:rsidRPr="00155AD0">
        <w:rPr>
          <w:lang w:val="en-US" w:eastAsia="en-US"/>
        </w:rPr>
        <w:t xml:space="preserve">  The quantity and quality of life and the evolution of world inequality [Text]</w:t>
      </w:r>
      <w:r w:rsidR="00880D1F" w:rsidRPr="00155AD0">
        <w:rPr>
          <w:lang w:val="uk-UA" w:eastAsia="en-US"/>
        </w:rPr>
        <w:t xml:space="preserve"> </w:t>
      </w:r>
      <w:r w:rsidRPr="00155AD0">
        <w:rPr>
          <w:lang w:val="en-US" w:eastAsia="en-US"/>
        </w:rPr>
        <w:t>/ G.</w:t>
      </w:r>
      <w:r w:rsidRPr="00155AD0">
        <w:rPr>
          <w:lang w:val="uk-UA" w:eastAsia="en-US"/>
        </w:rPr>
        <w:t xml:space="preserve"> </w:t>
      </w:r>
      <w:r w:rsidRPr="00155AD0">
        <w:rPr>
          <w:lang w:val="en-US" w:eastAsia="en-US"/>
        </w:rPr>
        <w:t>S.  Becker, T.</w:t>
      </w:r>
      <w:r w:rsidRPr="00155AD0">
        <w:rPr>
          <w:lang w:val="uk-UA" w:eastAsia="en-US"/>
        </w:rPr>
        <w:t xml:space="preserve"> </w:t>
      </w:r>
      <w:r w:rsidRPr="00155AD0">
        <w:rPr>
          <w:lang w:val="en-US" w:eastAsia="en-US"/>
        </w:rPr>
        <w:t>J. Philipson, R. R. Soares //</w:t>
      </w:r>
      <w:r w:rsidRPr="00155AD0">
        <w:rPr>
          <w:iCs/>
          <w:lang w:val="en-US" w:eastAsia="en-US"/>
        </w:rPr>
        <w:t xml:space="preserve"> American Economic Review. </w:t>
      </w:r>
      <w:r w:rsidRPr="00155AD0">
        <w:rPr>
          <w:lang w:val="en-US" w:eastAsia="en-US"/>
        </w:rPr>
        <w:t>– 2005, № 95</w:t>
      </w:r>
      <w:r w:rsidR="00880D1F" w:rsidRPr="00155AD0">
        <w:rPr>
          <w:lang w:val="uk-UA" w:eastAsia="en-US"/>
        </w:rPr>
        <w:t xml:space="preserve">      </w:t>
      </w:r>
      <w:r w:rsidRPr="00155AD0">
        <w:rPr>
          <w:lang w:val="en-US" w:eastAsia="en-US"/>
        </w:rPr>
        <w:t xml:space="preserve">( 1). – р. 277–291. </w:t>
      </w:r>
    </w:p>
    <w:sectPr w:rsidR="00B92822" w:rsidRPr="00155AD0" w:rsidSect="00D609C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2BEB" w:rsidRDefault="00972BEB" w:rsidP="00594719">
      <w:r>
        <w:separator/>
      </w:r>
    </w:p>
  </w:endnote>
  <w:endnote w:type="continuationSeparator" w:id="1">
    <w:p w:rsidR="00972BEB" w:rsidRDefault="00972BEB" w:rsidP="005947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2BEB" w:rsidRDefault="00972BEB" w:rsidP="00594719">
      <w:r>
        <w:separator/>
      </w:r>
    </w:p>
  </w:footnote>
  <w:footnote w:type="continuationSeparator" w:id="1">
    <w:p w:rsidR="00972BEB" w:rsidRDefault="00972BEB" w:rsidP="005947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84B88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DEF2D51"/>
    <w:multiLevelType w:val="hybridMultilevel"/>
    <w:tmpl w:val="5DBC4CB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1AC7CA6"/>
    <w:multiLevelType w:val="hybridMultilevel"/>
    <w:tmpl w:val="50F8C25A"/>
    <w:lvl w:ilvl="0" w:tplc="76AE87E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EF7B43"/>
    <w:multiLevelType w:val="hybridMultilevel"/>
    <w:tmpl w:val="19EE0C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6F61EF7"/>
    <w:multiLevelType w:val="hybridMultilevel"/>
    <w:tmpl w:val="44B6586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4F634B16"/>
    <w:multiLevelType w:val="hybridMultilevel"/>
    <w:tmpl w:val="BA7A5B2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67CC5A47"/>
    <w:multiLevelType w:val="hybridMultilevel"/>
    <w:tmpl w:val="D0AE3EAE"/>
    <w:lvl w:ilvl="0" w:tplc="401616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0B25"/>
    <w:rsid w:val="000009D8"/>
    <w:rsid w:val="00003ED4"/>
    <w:rsid w:val="000156CC"/>
    <w:rsid w:val="00026018"/>
    <w:rsid w:val="000305BA"/>
    <w:rsid w:val="00086F7F"/>
    <w:rsid w:val="000C0F2C"/>
    <w:rsid w:val="000D60CF"/>
    <w:rsid w:val="000F0AA1"/>
    <w:rsid w:val="0011717B"/>
    <w:rsid w:val="001274D9"/>
    <w:rsid w:val="001512D5"/>
    <w:rsid w:val="00155AD0"/>
    <w:rsid w:val="00184F7A"/>
    <w:rsid w:val="001B3F8D"/>
    <w:rsid w:val="001D1814"/>
    <w:rsid w:val="00200E10"/>
    <w:rsid w:val="00253D01"/>
    <w:rsid w:val="00261ADD"/>
    <w:rsid w:val="00263093"/>
    <w:rsid w:val="0029733C"/>
    <w:rsid w:val="002A60B4"/>
    <w:rsid w:val="002A786E"/>
    <w:rsid w:val="002B72A3"/>
    <w:rsid w:val="002E4B7A"/>
    <w:rsid w:val="002F452F"/>
    <w:rsid w:val="00325BA2"/>
    <w:rsid w:val="00334409"/>
    <w:rsid w:val="00341239"/>
    <w:rsid w:val="00346569"/>
    <w:rsid w:val="0035515C"/>
    <w:rsid w:val="003A0EB6"/>
    <w:rsid w:val="003B42CF"/>
    <w:rsid w:val="003D5734"/>
    <w:rsid w:val="003E1569"/>
    <w:rsid w:val="003E4B10"/>
    <w:rsid w:val="003F7A82"/>
    <w:rsid w:val="004468B8"/>
    <w:rsid w:val="004523DE"/>
    <w:rsid w:val="0048251E"/>
    <w:rsid w:val="004A1394"/>
    <w:rsid w:val="004A4751"/>
    <w:rsid w:val="004B2398"/>
    <w:rsid w:val="004C73C1"/>
    <w:rsid w:val="004D757B"/>
    <w:rsid w:val="004E72A1"/>
    <w:rsid w:val="004F4F3E"/>
    <w:rsid w:val="005071FD"/>
    <w:rsid w:val="005128D0"/>
    <w:rsid w:val="005161B7"/>
    <w:rsid w:val="00575F4A"/>
    <w:rsid w:val="005825A5"/>
    <w:rsid w:val="00594719"/>
    <w:rsid w:val="005957E3"/>
    <w:rsid w:val="005A70F9"/>
    <w:rsid w:val="005A7FB5"/>
    <w:rsid w:val="005D0A2B"/>
    <w:rsid w:val="006369D0"/>
    <w:rsid w:val="006410B6"/>
    <w:rsid w:val="00662681"/>
    <w:rsid w:val="00676DD7"/>
    <w:rsid w:val="00682DAC"/>
    <w:rsid w:val="00683A9B"/>
    <w:rsid w:val="0069143D"/>
    <w:rsid w:val="00697F2B"/>
    <w:rsid w:val="006A2C92"/>
    <w:rsid w:val="006E3A1B"/>
    <w:rsid w:val="006E637B"/>
    <w:rsid w:val="006F7583"/>
    <w:rsid w:val="00707A7C"/>
    <w:rsid w:val="00710F15"/>
    <w:rsid w:val="00720338"/>
    <w:rsid w:val="00731A0E"/>
    <w:rsid w:val="007351B5"/>
    <w:rsid w:val="007361FE"/>
    <w:rsid w:val="0075295D"/>
    <w:rsid w:val="00790DF6"/>
    <w:rsid w:val="007A5F3D"/>
    <w:rsid w:val="007F1338"/>
    <w:rsid w:val="007F2783"/>
    <w:rsid w:val="008133C4"/>
    <w:rsid w:val="00813FFF"/>
    <w:rsid w:val="00822B65"/>
    <w:rsid w:val="00842202"/>
    <w:rsid w:val="00877EC1"/>
    <w:rsid w:val="0088044D"/>
    <w:rsid w:val="00880D1F"/>
    <w:rsid w:val="00885E94"/>
    <w:rsid w:val="00893C13"/>
    <w:rsid w:val="00894890"/>
    <w:rsid w:val="008B40D3"/>
    <w:rsid w:val="008E2724"/>
    <w:rsid w:val="009344FE"/>
    <w:rsid w:val="00947884"/>
    <w:rsid w:val="00955903"/>
    <w:rsid w:val="00964653"/>
    <w:rsid w:val="00972BEB"/>
    <w:rsid w:val="009A4536"/>
    <w:rsid w:val="009D74F8"/>
    <w:rsid w:val="00A17A80"/>
    <w:rsid w:val="00A91F66"/>
    <w:rsid w:val="00AA785C"/>
    <w:rsid w:val="00AB6FBC"/>
    <w:rsid w:val="00AC4B87"/>
    <w:rsid w:val="00B2689C"/>
    <w:rsid w:val="00B45EB2"/>
    <w:rsid w:val="00B92822"/>
    <w:rsid w:val="00BA5AD0"/>
    <w:rsid w:val="00BB65F4"/>
    <w:rsid w:val="00BE6604"/>
    <w:rsid w:val="00C172E4"/>
    <w:rsid w:val="00C35876"/>
    <w:rsid w:val="00C4576A"/>
    <w:rsid w:val="00C46FF4"/>
    <w:rsid w:val="00C51839"/>
    <w:rsid w:val="00C53DFC"/>
    <w:rsid w:val="00C63E82"/>
    <w:rsid w:val="00C70C20"/>
    <w:rsid w:val="00C75B87"/>
    <w:rsid w:val="00C77A07"/>
    <w:rsid w:val="00CC7F9E"/>
    <w:rsid w:val="00CD2534"/>
    <w:rsid w:val="00CE4537"/>
    <w:rsid w:val="00CF45B6"/>
    <w:rsid w:val="00D022CD"/>
    <w:rsid w:val="00D10B25"/>
    <w:rsid w:val="00D56CD2"/>
    <w:rsid w:val="00D609C4"/>
    <w:rsid w:val="00D64BE5"/>
    <w:rsid w:val="00D6524F"/>
    <w:rsid w:val="00D87506"/>
    <w:rsid w:val="00D92C69"/>
    <w:rsid w:val="00DC1B11"/>
    <w:rsid w:val="00E05D81"/>
    <w:rsid w:val="00E3668B"/>
    <w:rsid w:val="00E64D67"/>
    <w:rsid w:val="00E74CBD"/>
    <w:rsid w:val="00E809F9"/>
    <w:rsid w:val="00E836B4"/>
    <w:rsid w:val="00E87612"/>
    <w:rsid w:val="00EB00E6"/>
    <w:rsid w:val="00ED78A7"/>
    <w:rsid w:val="00EE0E56"/>
    <w:rsid w:val="00F03469"/>
    <w:rsid w:val="00F05F5D"/>
    <w:rsid w:val="00F153E4"/>
    <w:rsid w:val="00F26EC4"/>
    <w:rsid w:val="00F329CD"/>
    <w:rsid w:val="00F4548C"/>
    <w:rsid w:val="00F5021F"/>
    <w:rsid w:val="00F62D75"/>
    <w:rsid w:val="00F65F38"/>
    <w:rsid w:val="00F749E4"/>
    <w:rsid w:val="00F83732"/>
    <w:rsid w:val="00F87EF3"/>
    <w:rsid w:val="00F90345"/>
    <w:rsid w:val="00FA06E5"/>
    <w:rsid w:val="00FE0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A0E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1A0E"/>
    <w:pPr>
      <w:keepNext/>
      <w:spacing w:line="360" w:lineRule="auto"/>
      <w:ind w:firstLine="567"/>
      <w:jc w:val="both"/>
      <w:outlineLvl w:val="0"/>
    </w:pPr>
    <w:rPr>
      <w:rFonts w:eastAsia="Times New Roman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731A0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A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731A0E"/>
    <w:pPr>
      <w:keepNext/>
      <w:jc w:val="center"/>
      <w:outlineLvl w:val="4"/>
    </w:pPr>
    <w:rPr>
      <w:rFonts w:eastAsia="Times New Roman"/>
      <w:sz w:val="3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1A0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31A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31A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31A0E"/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paragraph" w:styleId="a3">
    <w:name w:val="Title"/>
    <w:basedOn w:val="a"/>
    <w:link w:val="a4"/>
    <w:qFormat/>
    <w:rsid w:val="00731A0E"/>
    <w:pPr>
      <w:jc w:val="center"/>
    </w:pPr>
    <w:rPr>
      <w:rFonts w:eastAsia="Times New Roman"/>
      <w:b/>
      <w:bCs/>
      <w:lang w:val="uk-UA"/>
    </w:rPr>
  </w:style>
  <w:style w:type="character" w:customStyle="1" w:styleId="a4">
    <w:name w:val="Название Знак"/>
    <w:basedOn w:val="a0"/>
    <w:link w:val="a3"/>
    <w:rsid w:val="00731A0E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731A0E"/>
    <w:rPr>
      <w:b/>
      <w:bCs/>
    </w:rPr>
  </w:style>
  <w:style w:type="character" w:styleId="a6">
    <w:name w:val="Emphasis"/>
    <w:basedOn w:val="a0"/>
    <w:uiPriority w:val="20"/>
    <w:qFormat/>
    <w:rsid w:val="00731A0E"/>
    <w:rPr>
      <w:i/>
      <w:iCs/>
    </w:rPr>
  </w:style>
  <w:style w:type="paragraph" w:styleId="a7">
    <w:name w:val="List Paragraph"/>
    <w:basedOn w:val="a"/>
    <w:uiPriority w:val="34"/>
    <w:qFormat/>
    <w:rsid w:val="00731A0E"/>
    <w:pPr>
      <w:ind w:left="720"/>
      <w:contextualSpacing/>
    </w:pPr>
    <w:rPr>
      <w:rFonts w:eastAsia="Times New Roman"/>
    </w:rPr>
  </w:style>
  <w:style w:type="character" w:styleId="a8">
    <w:name w:val="Hyperlink"/>
    <w:basedOn w:val="a0"/>
    <w:uiPriority w:val="99"/>
    <w:unhideWhenUsed/>
    <w:rsid w:val="00697F2B"/>
    <w:rPr>
      <w:color w:val="0000FF" w:themeColor="hyperlink"/>
      <w:u w:val="single"/>
    </w:rPr>
  </w:style>
  <w:style w:type="paragraph" w:styleId="a9">
    <w:name w:val="Normal (Web)"/>
    <w:basedOn w:val="a"/>
    <w:rsid w:val="000156CC"/>
    <w:pPr>
      <w:spacing w:before="100" w:beforeAutospacing="1" w:after="100" w:afterAutospacing="1"/>
      <w:jc w:val="both"/>
    </w:pPr>
    <w:rPr>
      <w:rFonts w:eastAsia="Times New Roman"/>
    </w:rPr>
  </w:style>
  <w:style w:type="paragraph" w:styleId="aa">
    <w:name w:val="Balloon Text"/>
    <w:basedOn w:val="a"/>
    <w:link w:val="ab"/>
    <w:uiPriority w:val="99"/>
    <w:semiHidden/>
    <w:unhideWhenUsed/>
    <w:rsid w:val="00710F1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10F15"/>
    <w:rPr>
      <w:rFonts w:ascii="Tahoma" w:hAnsi="Tahoma" w:cs="Tahoma"/>
      <w:sz w:val="16"/>
      <w:szCs w:val="16"/>
      <w:lang w:eastAsia="ru-RU"/>
    </w:rPr>
  </w:style>
  <w:style w:type="character" w:styleId="ac">
    <w:name w:val="Placeholder Text"/>
    <w:basedOn w:val="a0"/>
    <w:uiPriority w:val="99"/>
    <w:semiHidden/>
    <w:rsid w:val="00683A9B"/>
    <w:rPr>
      <w:color w:val="808080"/>
    </w:rPr>
  </w:style>
  <w:style w:type="table" w:styleId="ad">
    <w:name w:val="Table Grid"/>
    <w:basedOn w:val="a1"/>
    <w:uiPriority w:val="59"/>
    <w:rsid w:val="00D875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Основной т"/>
    <w:basedOn w:val="a"/>
    <w:rsid w:val="001D1814"/>
    <w:pPr>
      <w:widowControl w:val="0"/>
      <w:spacing w:line="360" w:lineRule="auto"/>
      <w:ind w:firstLine="851"/>
      <w:jc w:val="both"/>
    </w:pPr>
    <w:rPr>
      <w:rFonts w:eastAsia="Times New Roman"/>
      <w:snapToGrid w:val="0"/>
      <w:sz w:val="28"/>
      <w:szCs w:val="20"/>
    </w:rPr>
  </w:style>
  <w:style w:type="paragraph" w:customStyle="1" w:styleId="Default">
    <w:name w:val="Default"/>
    <w:rsid w:val="00CD253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346569"/>
    <w:pPr>
      <w:ind w:firstLine="142"/>
      <w:jc w:val="both"/>
    </w:pPr>
    <w:rPr>
      <w:rFonts w:eastAsia="Times New Roman"/>
      <w:b/>
      <w:sz w:val="20"/>
      <w:szCs w:val="20"/>
      <w:lang w:val="uk-UA" w:eastAsia="uk-UA"/>
    </w:rPr>
  </w:style>
  <w:style w:type="character" w:customStyle="1" w:styleId="22">
    <w:name w:val="Основной текст с отступом 2 Знак"/>
    <w:basedOn w:val="a0"/>
    <w:link w:val="21"/>
    <w:semiHidden/>
    <w:rsid w:val="00346569"/>
    <w:rPr>
      <w:rFonts w:eastAsia="Times New Roman"/>
      <w:b/>
      <w:sz w:val="20"/>
      <w:szCs w:val="20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1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rstst.gov.ua" TargetMode="Externa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47;&#1072;&#1102;&#1082;&#1086;&#1074;\Article\C&#1090;&#1072;&#1088;&#1110;\2014\&#1050;&#1085;&#1080;&#1075;&#1072;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Вартість приросту середньої тривалості життя (в перерахунку на рік додаткового життя), тис. дол. США.</c:v>
                </c:pt>
              </c:strCache>
            </c:strRef>
          </c:tx>
          <c:cat>
            <c:strRef>
              <c:f>Лист1!$A$2:$A$17</c:f>
              <c:strCache>
                <c:ptCount val="16"/>
                <c:pt idx="0">
                  <c:v>Австрія</c:v>
                </c:pt>
                <c:pt idx="1">
                  <c:v>Греція</c:v>
                </c:pt>
                <c:pt idx="2">
                  <c:v>Ірландія</c:v>
                </c:pt>
                <c:pt idx="3">
                  <c:v>Іспанія</c:v>
                </c:pt>
                <c:pt idx="4">
                  <c:v>Норвегія</c:v>
                </c:pt>
                <c:pt idx="5">
                  <c:v>Франція</c:v>
                </c:pt>
                <c:pt idx="6">
                  <c:v>Швейцарія</c:v>
                </c:pt>
                <c:pt idx="7">
                  <c:v>Швеція</c:v>
                </c:pt>
                <c:pt idx="8">
                  <c:v>Білорусь</c:v>
                </c:pt>
                <c:pt idx="9">
                  <c:v>Грузія</c:v>
                </c:pt>
                <c:pt idx="10">
                  <c:v>Латвія</c:v>
                </c:pt>
                <c:pt idx="11">
                  <c:v>Литва</c:v>
                </c:pt>
                <c:pt idx="12">
                  <c:v>Молдова</c:v>
                </c:pt>
                <c:pt idx="13">
                  <c:v>Польща</c:v>
                </c:pt>
                <c:pt idx="14">
                  <c:v>Росія</c:v>
                </c:pt>
                <c:pt idx="15">
                  <c:v>Україна</c:v>
                </c:pt>
              </c:strCache>
            </c:strRef>
          </c:cat>
          <c:val>
            <c:numRef>
              <c:f>Лист1!$B$2:$B$17</c:f>
              <c:numCache>
                <c:formatCode>General</c:formatCode>
                <c:ptCount val="16"/>
                <c:pt idx="0">
                  <c:v>9.8750000000000018</c:v>
                </c:pt>
                <c:pt idx="1">
                  <c:v>5.6919999999999993</c:v>
                </c:pt>
                <c:pt idx="2">
                  <c:v>12.676</c:v>
                </c:pt>
                <c:pt idx="3">
                  <c:v>6.5669999999999993</c:v>
                </c:pt>
                <c:pt idx="4">
                  <c:v>11.624000000000001</c:v>
                </c:pt>
                <c:pt idx="5">
                  <c:v>8.4090000000000007</c:v>
                </c:pt>
                <c:pt idx="6">
                  <c:v>9.2199999999999989</c:v>
                </c:pt>
                <c:pt idx="7">
                  <c:v>7.7080000000000002</c:v>
                </c:pt>
                <c:pt idx="8">
                  <c:v>1.5920000000000001</c:v>
                </c:pt>
                <c:pt idx="9">
                  <c:v>0.48000000000000004</c:v>
                </c:pt>
                <c:pt idx="10">
                  <c:v>3.0719999999999996</c:v>
                </c:pt>
                <c:pt idx="11">
                  <c:v>3.4099999999999997</c:v>
                </c:pt>
                <c:pt idx="12">
                  <c:v>0.24300000000000002</c:v>
                </c:pt>
                <c:pt idx="13">
                  <c:v>3.2410000000000001</c:v>
                </c:pt>
                <c:pt idx="14">
                  <c:v>2.8939999999999997</c:v>
                </c:pt>
                <c:pt idx="15">
                  <c:v>1.4369999999999998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Різниця в середній тривалості життя (за відповідний період), років.</c:v>
                </c:pt>
              </c:strCache>
            </c:strRef>
          </c:tx>
          <c:cat>
            <c:strRef>
              <c:f>Лист1!$A$2:$A$17</c:f>
              <c:strCache>
                <c:ptCount val="16"/>
                <c:pt idx="0">
                  <c:v>Австрія</c:v>
                </c:pt>
                <c:pt idx="1">
                  <c:v>Греція</c:v>
                </c:pt>
                <c:pt idx="2">
                  <c:v>Ірландія</c:v>
                </c:pt>
                <c:pt idx="3">
                  <c:v>Іспанія</c:v>
                </c:pt>
                <c:pt idx="4">
                  <c:v>Норвегія</c:v>
                </c:pt>
                <c:pt idx="5">
                  <c:v>Франція</c:v>
                </c:pt>
                <c:pt idx="6">
                  <c:v>Швейцарія</c:v>
                </c:pt>
                <c:pt idx="7">
                  <c:v>Швеція</c:v>
                </c:pt>
                <c:pt idx="8">
                  <c:v>Білорусь</c:v>
                </c:pt>
                <c:pt idx="9">
                  <c:v>Грузія</c:v>
                </c:pt>
                <c:pt idx="10">
                  <c:v>Латвія</c:v>
                </c:pt>
                <c:pt idx="11">
                  <c:v>Литва</c:v>
                </c:pt>
                <c:pt idx="12">
                  <c:v>Молдова</c:v>
                </c:pt>
                <c:pt idx="13">
                  <c:v>Польща</c:v>
                </c:pt>
                <c:pt idx="14">
                  <c:v>Росія</c:v>
                </c:pt>
                <c:pt idx="15">
                  <c:v>Україна</c:v>
                </c:pt>
              </c:strCache>
            </c:strRef>
          </c:cat>
          <c:val>
            <c:numRef>
              <c:f>Лист1!$C$2:$C$17</c:f>
              <c:numCache>
                <c:formatCode>General</c:formatCode>
                <c:ptCount val="16"/>
                <c:pt idx="0">
                  <c:v>8.9100000000000108</c:v>
                </c:pt>
                <c:pt idx="1">
                  <c:v>5.1100000000000128</c:v>
                </c:pt>
                <c:pt idx="2">
                  <c:v>7.5300000000000011</c:v>
                </c:pt>
                <c:pt idx="3">
                  <c:v>6.9000000000000066</c:v>
                </c:pt>
                <c:pt idx="4">
                  <c:v>5.539999999999992</c:v>
                </c:pt>
                <c:pt idx="5">
                  <c:v>6.5099999999999909</c:v>
                </c:pt>
                <c:pt idx="6">
                  <c:v>7.5700000000000074</c:v>
                </c:pt>
                <c:pt idx="7">
                  <c:v>5.5400000000000063</c:v>
                </c:pt>
                <c:pt idx="8">
                  <c:v>-2.7210000000000036</c:v>
                </c:pt>
                <c:pt idx="9">
                  <c:v>-0.97100000000000364</c:v>
                </c:pt>
                <c:pt idx="10">
                  <c:v>1.4090000000000058</c:v>
                </c:pt>
                <c:pt idx="11">
                  <c:v>0.68899999999999295</c:v>
                </c:pt>
                <c:pt idx="12">
                  <c:v>-0.57100000000001228</c:v>
                </c:pt>
                <c:pt idx="13">
                  <c:v>3.7289999999999992</c:v>
                </c:pt>
                <c:pt idx="14">
                  <c:v>-4.3410000000000082</c:v>
                </c:pt>
                <c:pt idx="15">
                  <c:v>-2.7109999999999985</c:v>
                </c:pt>
              </c:numCache>
            </c:numRef>
          </c:val>
        </c:ser>
        <c:marker val="1"/>
        <c:axId val="79296000"/>
        <c:axId val="79319424"/>
      </c:lineChart>
      <c:catAx>
        <c:axId val="79296000"/>
        <c:scaling>
          <c:orientation val="minMax"/>
        </c:scaling>
        <c:axPos val="b"/>
        <c:tickLblPos val="nextTo"/>
        <c:txPr>
          <a:bodyPr rot="-5400000" vert="horz"/>
          <a:lstStyle/>
          <a:p>
            <a:pPr>
              <a:defRPr sz="1400" baseline="30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79319424"/>
        <c:crosses val="autoZero"/>
        <c:auto val="1"/>
        <c:lblAlgn val="ctr"/>
        <c:lblOffset val="100"/>
      </c:catAx>
      <c:valAx>
        <c:axId val="79319424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100"/>
            </a:pPr>
            <a:endParaRPr lang="ru-RU"/>
          </a:p>
        </c:txPr>
        <c:crossAx val="79296000"/>
        <c:crosses val="autoZero"/>
        <c:crossBetween val="between"/>
      </c:valAx>
    </c:plotArea>
    <c:legend>
      <c:legendPos val="b"/>
      <c:legendEntry>
        <c:idx val="1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0"/>
        <c:txPr>
          <a:bodyPr/>
          <a:lstStyle/>
          <a:p>
            <a:pPr algn="just"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</c:legend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2014-02-06T05:58:00Z</dcterms:created>
  <dcterms:modified xsi:type="dcterms:W3CDTF">2014-02-07T14:33:00Z</dcterms:modified>
</cp:coreProperties>
</file>