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512" w:rsidRPr="00D36512" w:rsidRDefault="00D365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36512">
        <w:rPr>
          <w:rFonts w:ascii="Times New Roman" w:hAnsi="Times New Roman" w:cs="Times New Roman"/>
          <w:b/>
          <w:sz w:val="28"/>
          <w:szCs w:val="28"/>
        </w:rPr>
        <w:t xml:space="preserve">ЗАСОБИ ПСИХОЛОГІЧНОЇ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ІДГОТОВКИ СПОРТСМЕНІВ</w:t>
      </w:r>
    </w:p>
    <w:p w:rsidR="00D36512" w:rsidRPr="00D36512" w:rsidRDefault="00D36512">
      <w:pPr>
        <w:rPr>
          <w:rFonts w:ascii="Times New Roman" w:hAnsi="Times New Roman" w:cs="Times New Roman"/>
          <w:b/>
          <w:sz w:val="28"/>
          <w:szCs w:val="28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D36512">
        <w:rPr>
          <w:rFonts w:ascii="Times New Roman" w:hAnsi="Times New Roman" w:cs="Times New Roman"/>
          <w:b/>
          <w:sz w:val="28"/>
          <w:szCs w:val="28"/>
        </w:rPr>
        <w:t xml:space="preserve"> Олександр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ідлужняк, Олена Колос</w:t>
      </w:r>
    </w:p>
    <w:p w:rsidR="00D36512" w:rsidRPr="00D36512" w:rsidRDefault="00D36512">
      <w:pPr>
        <w:rPr>
          <w:rFonts w:ascii="Times New Roman" w:hAnsi="Times New Roman" w:cs="Times New Roman"/>
          <w:b/>
          <w:sz w:val="28"/>
          <w:szCs w:val="28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D36512">
        <w:rPr>
          <w:rFonts w:ascii="Times New Roman" w:hAnsi="Times New Roman" w:cs="Times New Roman"/>
          <w:b/>
          <w:sz w:val="28"/>
          <w:szCs w:val="28"/>
        </w:rPr>
        <w:t xml:space="preserve"> Вінницький Національний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Техн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ічний Університет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D36512">
        <w:rPr>
          <w:rFonts w:ascii="Times New Roman" w:hAnsi="Times New Roman" w:cs="Times New Roman"/>
          <w:sz w:val="28"/>
          <w:szCs w:val="28"/>
        </w:rPr>
        <w:t xml:space="preserve"> </w:t>
      </w:r>
      <w:r w:rsidRPr="00D36512">
        <w:rPr>
          <w:rFonts w:ascii="Times New Roman" w:hAnsi="Times New Roman" w:cs="Times New Roman"/>
          <w:b/>
          <w:sz w:val="28"/>
          <w:szCs w:val="28"/>
        </w:rPr>
        <w:t>Постановка проблеми</w:t>
      </w:r>
      <w:r w:rsidRPr="00D36512">
        <w:rPr>
          <w:rFonts w:ascii="Times New Roman" w:hAnsi="Times New Roman" w:cs="Times New Roman"/>
          <w:sz w:val="28"/>
          <w:szCs w:val="28"/>
        </w:rPr>
        <w:t xml:space="preserve">. Результати змагань, як правило, обумовлюються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івнем підготовки спортсменів: їх руховою, функціональною і психологічною підготовками. Загалом в традиційній практиці спортивних тренувань в достатній мі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 поширені різні теоретично обгрунтовані та експериментально перевірені методики розвитку рухового та фізичного потенціалу спортсменів, але практично відсутні рекомендації з організації психологічної підготовки, що є важливою складовою підготовки спортсменів. Зараз у науково-методичній літературі немає єдиної думки щодо визначення змісту і засобів психологічної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ідготовки спортсменів. Переважно вона обмежується рамками емоційного вольового настрою на виконання різних вправ на змаганнях. Результативність того чи іншого змагалння буде обумовлюватися,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ім усього іншого, і розвиненістю адекватних властивостей психічних процесів. 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D36512">
        <w:rPr>
          <w:rFonts w:ascii="Times New Roman" w:hAnsi="Times New Roman" w:cs="Times New Roman"/>
          <w:b/>
          <w:sz w:val="28"/>
          <w:szCs w:val="28"/>
        </w:rPr>
        <w:t xml:space="preserve">Аналіз останніх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іджень і публікацій.</w:t>
      </w:r>
      <w:r w:rsidRPr="00D36512">
        <w:rPr>
          <w:rFonts w:ascii="Times New Roman" w:hAnsi="Times New Roman" w:cs="Times New Roman"/>
          <w:sz w:val="28"/>
          <w:szCs w:val="28"/>
        </w:rPr>
        <w:t xml:space="preserve"> Проблему психологічної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ідготовки піднімали багато авторів, в основному для окремих видів спорту, вони виокремлювали відповідні засоби. Горбунов Г.Д., ГогуновО.Н. видали книжку в якій описали деякі засоби психологічної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ідготовки. До даної теми також приєднався Пуні А.Ц. він приводить психологічну систематику видів спорту, засновану на виявленні ним спільностей і відмінностей в деяких заданих правилами умовах змагання, що визначають головні психологічні особливості діяльності спортсменів та команд у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ізних видах спорту [7]. В розглянутій кваліфікації відображено види спорту, що передбачають безпосереднє протиборство і опосередковані. До</w:t>
      </w:r>
      <w:r w:rsidRPr="00D36512">
        <w:rPr>
          <w:rFonts w:ascii="Times New Roman" w:hAnsi="Times New Roman" w:cs="Times New Roman"/>
          <w:sz w:val="28"/>
          <w:szCs w:val="28"/>
        </w:rPr>
        <w:t xml:space="preserve"> </w:t>
      </w:r>
      <w:r w:rsidRPr="00D36512">
        <w:rPr>
          <w:rFonts w:ascii="Times New Roman" w:hAnsi="Times New Roman" w:cs="Times New Roman"/>
          <w:sz w:val="28"/>
          <w:szCs w:val="28"/>
        </w:rPr>
        <w:t>першої групи відносяться ті види які припускають жорсткий фізичний контакт (спортивні і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гри в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яких взаємодія гравців здійснюється по всьому полю та єдиноборства), фізичний контакт (спортивні ігри в яких взаємодія гравців здійснюється на своїй половині поля) і умовний фізичний контакт припускає спільно-синергічні, спільно-послідовні і спільн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індивідуальні дії. До другої групи Пуні відносить такі види спорту, які характеризуються відсутністю фізичного контакту (акробатика, фігурне катання, спортивні танці, стрибки і метання, важка атлетика і Т.Д.).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   </w:t>
      </w:r>
      <w:r w:rsidRPr="00D36512">
        <w:rPr>
          <w:rFonts w:ascii="Times New Roman" w:hAnsi="Times New Roman" w:cs="Times New Roman"/>
          <w:sz w:val="28"/>
          <w:szCs w:val="28"/>
        </w:rPr>
        <w:t xml:space="preserve"> Представлена кваліфікація не є повною. оскільки при визначенні об'єктів систематики були взяті тільки ті види спорту, які характеризуються </w:t>
      </w:r>
      <w:r w:rsidRPr="00D36512">
        <w:rPr>
          <w:rFonts w:ascii="Times New Roman" w:hAnsi="Times New Roman" w:cs="Times New Roman"/>
          <w:sz w:val="28"/>
          <w:szCs w:val="28"/>
        </w:rPr>
        <w:lastRenderedPageBreak/>
        <w:t xml:space="preserve">активною руховою діяльністю з граничним проявом фізичних і вольових якостей спортсменів. В ній не відображені види спорту пов'язані абстрактно-логічним обігруванням супротивника, а також всі види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ільби та багатоборства. Властивий недолік не дозволяє її поширити на всі існуючі види спорту,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ім того, на нашу думку необхідно розглядати не вид спорту в цілому, а саме конкретну змагальну вправу. Так, наприклад, легка атлетика, як і акробатика, представлені як поодинокими і груповими змагальними вправами, результат в яких залежить не тільки від індивідуальної майстерності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кожного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учасника, але і від їх взаємодії між собою. Отже, при розробці тієї чи іншої класифікацій необхідно враховувати характер основної взаємодії, яка обумовлює ться ефективністю та результативністю конкретної вправи на змаганні.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</w:t>
      </w:r>
      <w:r w:rsidRPr="00D36512">
        <w:rPr>
          <w:rFonts w:ascii="Times New Roman" w:hAnsi="Times New Roman" w:cs="Times New Roman"/>
          <w:b/>
          <w:sz w:val="28"/>
          <w:szCs w:val="28"/>
        </w:rPr>
        <w:t>Метою статті</w:t>
      </w:r>
      <w:r w:rsidRPr="00D36512">
        <w:rPr>
          <w:rFonts w:ascii="Times New Roman" w:hAnsi="Times New Roman" w:cs="Times New Roman"/>
          <w:sz w:val="28"/>
          <w:szCs w:val="28"/>
        </w:rPr>
        <w:t xml:space="preserve"> є вивчення і аналіз психологічних властивостей спортсменів за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ізними властивостями.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метою визначення залежності змагального результату від розвиненості тих або інших властивостей уваги, а також для визначення засобів їх розвитку нами були проведені експерименти. 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 xml:space="preserve">Методи й організація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ідження.</w:t>
      </w:r>
      <w:r w:rsidRPr="00D36512">
        <w:rPr>
          <w:rFonts w:ascii="Times New Roman" w:hAnsi="Times New Roman" w:cs="Times New Roman"/>
          <w:sz w:val="28"/>
          <w:szCs w:val="28"/>
        </w:rPr>
        <w:t xml:space="preserve"> В рамках першого констатуючого експерименту нами були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іджені 42 бадмінтоністи.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них - б майстрів спорту міжнародного класу, 17 майстрів спорту, 15 кандидатів спорту, 4 спортсмена І-ІІ розрядів. 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Вивчалися такі властивості уваги, як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ійкість і концентрація.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36512" w:rsidRPr="00E37E31">
        <w:rPr>
          <w:rFonts w:ascii="Times New Roman" w:hAnsi="Times New Roman" w:cs="Times New Roman"/>
          <w:sz w:val="28"/>
          <w:szCs w:val="28"/>
          <w:lang w:val="uk-UA"/>
        </w:rPr>
        <w:t xml:space="preserve">Концентрація уваги є важливою функцією системи психічної регуляції, забезпечує глибину, точність і ясність відображення виконуваних дій у свідомості об'єктів діяльності і виражається в ступені зосередження суб'єкта діяльності на об'єкті, а стійкість визначається тривалістю концентрації уваги на об'єкті [2, 4, 5].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При визначенні розвиненості властивостей уваги використовувалися найбільш поширені групи лабораторних методів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ідження, об'єднані під загальною назвою «коректурні проби». Обробка першого тесту проводилася за формулою запропонованої I.JI. Баскакова, де вона вперше вводить назву «показник якості уваги »[1, 8]. Використання групи методів дозволяє більш об'єктивно визначити розвиненість тих чи іншою властивостей уваги. Однак, зважаючи на те, що в застосовуваних пробах використовуються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ізні методи оцінювання, що викликає певні труднощі, виникає необхідність приведення їх до загального показника. 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365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цією метою в кожному тесті нами визначався відносний показник до максимально можливого, який розглядався як 100% результат. Це дозволило </w:t>
      </w:r>
      <w:r w:rsidRPr="00D36512">
        <w:rPr>
          <w:rFonts w:ascii="Times New Roman" w:hAnsi="Times New Roman" w:cs="Times New Roman"/>
          <w:sz w:val="28"/>
          <w:szCs w:val="28"/>
        </w:rPr>
        <w:lastRenderedPageBreak/>
        <w:t xml:space="preserve">уніфікувати отримані дані всіх тестів і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ідобразити їх в єдиній шкалі вимірювань. 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36512">
        <w:rPr>
          <w:rFonts w:ascii="Times New Roman" w:hAnsi="Times New Roman" w:cs="Times New Roman"/>
          <w:b/>
          <w:sz w:val="28"/>
          <w:szCs w:val="28"/>
        </w:rPr>
        <w:t xml:space="preserve">Результати 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D36512">
        <w:rPr>
          <w:rFonts w:ascii="Times New Roman" w:hAnsi="Times New Roman" w:cs="Times New Roman"/>
          <w:b/>
          <w:sz w:val="28"/>
          <w:szCs w:val="28"/>
        </w:rPr>
        <w:t>іджень та їх обговорення.</w:t>
      </w:r>
      <w:r w:rsidRPr="00D36512">
        <w:rPr>
          <w:rFonts w:ascii="Times New Roman" w:hAnsi="Times New Roman" w:cs="Times New Roman"/>
          <w:sz w:val="28"/>
          <w:szCs w:val="28"/>
        </w:rPr>
        <w:t xml:space="preserve"> При визначенні показників якості уваги спортсменів бадмінтоні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ів різної кваліфікації нами було визначено, що МСМК мають даний показник рівний 40,45%, МС - 38,17%, КМС - 36,18%, спортсмени - розрядники - 25,13%. Результати проведеного констатуючого експерименту свідчать, що ефективність змагальної вправи в певній мірі залежить від розвиненості адекватних властивостей психічних процесів. У зв'язку з цим постає питання про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ільність і виправданість здійснення селекційного відбору за даним показником при наборі груп початкової підготовки. Однак, беручи до уваги, що багаторічний тренувальний процес є багатофакторним явищем, відповідь на дане питання залишається відкритим.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цією метою нами був проведений другий констатуючий експеримент, метою якого було визначення ступеня впливу багаторічного тренувального процессу на розвиток тієї чи іншвластивості уваги, який визначає ефективність діяльності на змаганнях. В експерименті взяли участь представники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ільби з лука і баскетболу.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 Поряд з концентрацією і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ійкістю уваги визначалася так само здатність, до його переключення і розподілу. Переключення уваги розуміється як його зміна з одного об'єкта на інший, з одного виду діяльності на інший. Розподіл уваги полягає в здатності розосередити увагу на значному просторі, паралельно виконувати декілька видів діяльності або здійснювати декілька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ізних дій [4, 9]. Для визначення здатності уваги до переключення та розподілу застосовувалися методики «розстановка чисел» і методика «відшукання чисел-з переключенням уваги по червоно-чорним таблицям ».</w:t>
      </w:r>
    </w:p>
    <w:p w:rsidR="00D36512" w:rsidRPr="00D36512" w:rsidRDefault="00E37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 Результати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 констатуючого експерименту представлені в таблиці 1 з якої видно, що за час тренувань найбільші зміни зафіксовані в показниках специфічних властивостей уваги, що обумовлюють ефективність конкретної змагальної вправи. Наведені д а н і.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ідчать, що специфічні умови змагальної та тренувальної діяльності, також традиційно застосовуються засоби навчання рухових дій, зумовлюють розвиток адекватних властивостей уваги і можуть бути розглянуті як основні засоби їх розвитку</w:t>
      </w:r>
      <w:r w:rsidR="00D36512" w:rsidRPr="00D36512">
        <w:rPr>
          <w:rFonts w:ascii="Times New Roman" w:hAnsi="Times New Roman" w:cs="Times New Roman"/>
          <w:sz w:val="28"/>
          <w:szCs w:val="28"/>
        </w:rPr>
        <w:t>.</w:t>
      </w:r>
    </w:p>
    <w:p w:rsidR="00820F46" w:rsidRDefault="00820F46" w:rsidP="00D3651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E37E31" w:rsidRPr="00E37E31" w:rsidRDefault="00E37E31" w:rsidP="00D3651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820F46" w:rsidRDefault="00820F46" w:rsidP="00D36512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36512" w:rsidRPr="00D36512" w:rsidRDefault="00D36512" w:rsidP="00D36512">
      <w:pPr>
        <w:jc w:val="right"/>
        <w:rPr>
          <w:rFonts w:ascii="Times New Roman" w:hAnsi="Times New Roman" w:cs="Times New Roman"/>
          <w:sz w:val="28"/>
          <w:szCs w:val="28"/>
        </w:rPr>
      </w:pPr>
      <w:r w:rsidRPr="00D3651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36512">
        <w:rPr>
          <w:rFonts w:ascii="Times New Roman" w:hAnsi="Times New Roman" w:cs="Times New Roman"/>
          <w:sz w:val="28"/>
          <w:szCs w:val="28"/>
        </w:rPr>
        <w:t>Таблиця І</w:t>
      </w:r>
    </w:p>
    <w:p w:rsidR="00D36512" w:rsidRPr="00D36512" w:rsidRDefault="00D36512" w:rsidP="00D365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512">
        <w:rPr>
          <w:rFonts w:ascii="Times New Roman" w:hAnsi="Times New Roman" w:cs="Times New Roman"/>
          <w:b/>
          <w:sz w:val="28"/>
          <w:szCs w:val="28"/>
        </w:rPr>
        <w:t>Динаміка показників розвиненості уваги учасників другого констатуючого експерименту (% від мах, М ± т</w:t>
      </w:r>
      <w:proofErr w:type="gramStart"/>
      <w:r w:rsidRPr="00D36512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</w:p>
    <w:tbl>
      <w:tblPr>
        <w:tblStyle w:val="a3"/>
        <w:tblW w:w="10429" w:type="dxa"/>
        <w:tblInd w:w="-176" w:type="dxa"/>
        <w:tblLook w:val="04A0" w:firstRow="1" w:lastRow="0" w:firstColumn="1" w:lastColumn="0" w:noHBand="0" w:noVBand="1"/>
      </w:tblPr>
      <w:tblGrid>
        <w:gridCol w:w="2127"/>
        <w:gridCol w:w="2013"/>
        <w:gridCol w:w="1899"/>
        <w:gridCol w:w="1598"/>
        <w:gridCol w:w="1598"/>
        <w:gridCol w:w="972"/>
        <w:gridCol w:w="222"/>
      </w:tblGrid>
      <w:tr w:rsidR="00820F46" w:rsidTr="00BE41A7">
        <w:trPr>
          <w:gridAfter w:val="1"/>
          <w:wAfter w:w="222" w:type="dxa"/>
          <w:trHeight w:val="435"/>
        </w:trPr>
        <w:tc>
          <w:tcPr>
            <w:tcW w:w="2127" w:type="dxa"/>
            <w:vMerge w:val="restart"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Властивості уваги</w:t>
            </w:r>
          </w:p>
        </w:tc>
        <w:tc>
          <w:tcPr>
            <w:tcW w:w="2013" w:type="dxa"/>
            <w:vMerge w:val="restart"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Спортсмени</w:t>
            </w:r>
          </w:p>
        </w:tc>
        <w:tc>
          <w:tcPr>
            <w:tcW w:w="5095" w:type="dxa"/>
            <w:gridSpan w:val="3"/>
          </w:tcPr>
          <w:p w:rsidR="00820F46" w:rsidRPr="00BE41A7" w:rsidRDefault="00820F46" w:rsidP="00BE41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 xml:space="preserve">Вік </w:t>
            </w:r>
            <w:proofErr w:type="gramStart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досл</w:t>
            </w:r>
            <w:proofErr w:type="gramEnd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ідж уваних, років</w:t>
            </w:r>
          </w:p>
        </w:tc>
        <w:tc>
          <w:tcPr>
            <w:tcW w:w="972" w:type="dxa"/>
            <w:vMerge w:val="restart"/>
          </w:tcPr>
          <w:p w:rsidR="00820F46" w:rsidRDefault="00820F46" w:rsidP="00BE41A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651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D365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</w:tr>
      <w:tr w:rsidR="00BE41A7" w:rsidTr="00BE41A7">
        <w:trPr>
          <w:gridAfter w:val="1"/>
          <w:wAfter w:w="222" w:type="dxa"/>
          <w:trHeight w:val="210"/>
        </w:trPr>
        <w:tc>
          <w:tcPr>
            <w:tcW w:w="2127" w:type="dxa"/>
            <w:vMerge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  <w:tc>
          <w:tcPr>
            <w:tcW w:w="1598" w:type="dxa"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14-16</w:t>
            </w:r>
          </w:p>
        </w:tc>
        <w:tc>
          <w:tcPr>
            <w:tcW w:w="1598" w:type="dxa"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  <w:tc>
          <w:tcPr>
            <w:tcW w:w="972" w:type="dxa"/>
            <w:vMerge/>
          </w:tcPr>
          <w:p w:rsidR="00820F46" w:rsidRPr="00BE41A7" w:rsidRDefault="00820F46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1A7" w:rsidTr="00BE41A7">
        <w:tc>
          <w:tcPr>
            <w:tcW w:w="2127" w:type="dxa"/>
            <w:vMerge w:val="restart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Концентрація</w:t>
            </w:r>
          </w:p>
        </w:tc>
        <w:tc>
          <w:tcPr>
            <w:tcW w:w="2013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Баскетболісти</w:t>
            </w:r>
          </w:p>
        </w:tc>
        <w:tc>
          <w:tcPr>
            <w:tcW w:w="1899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3 6 ,1 1±4,26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45,56±3,17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41,9±5,58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&gt;0,05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:rsidR="00BE41A7" w:rsidRDefault="00BE41A7" w:rsidP="00BE41A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41A7" w:rsidTr="00BE41A7">
        <w:trPr>
          <w:gridAfter w:val="1"/>
          <w:wAfter w:w="222" w:type="dxa"/>
        </w:trPr>
        <w:tc>
          <w:tcPr>
            <w:tcW w:w="2127" w:type="dxa"/>
            <w:vMerge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3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Лучники</w:t>
            </w:r>
          </w:p>
        </w:tc>
        <w:tc>
          <w:tcPr>
            <w:tcW w:w="1899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44,52±5,36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 xml:space="preserve">46,17 ± </w:t>
            </w: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5,51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67,36±8,49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BE41A7" w:rsidTr="00BE41A7">
        <w:tblPrEx>
          <w:tblLook w:val="0000" w:firstRow="0" w:lastRow="0" w:firstColumn="0" w:lastColumn="0" w:noHBand="0" w:noVBand="0"/>
        </w:tblPrEx>
        <w:trPr>
          <w:gridAfter w:val="1"/>
          <w:wAfter w:w="222" w:type="dxa"/>
          <w:trHeight w:val="285"/>
        </w:trPr>
        <w:tc>
          <w:tcPr>
            <w:tcW w:w="2127" w:type="dxa"/>
            <w:vMerge/>
          </w:tcPr>
          <w:p w:rsidR="00BE41A7" w:rsidRPr="00BE41A7" w:rsidRDefault="00BE41A7" w:rsidP="00BE41A7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3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899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&lt;0,5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41A7" w:rsidTr="00BE41A7">
        <w:tblPrEx>
          <w:tblLook w:val="0000" w:firstRow="0" w:lastRow="0" w:firstColumn="0" w:lastColumn="0" w:noHBand="0" w:noVBand="0"/>
        </w:tblPrEx>
        <w:trPr>
          <w:gridAfter w:val="1"/>
          <w:wAfter w:w="222" w:type="dxa"/>
          <w:trHeight w:val="270"/>
        </w:trPr>
        <w:tc>
          <w:tcPr>
            <w:tcW w:w="2127" w:type="dxa"/>
            <w:vMerge w:val="restart"/>
          </w:tcPr>
          <w:p w:rsidR="00BE41A7" w:rsidRPr="00BE41A7" w:rsidRDefault="00BE41A7" w:rsidP="00BE41A7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Переклю чення і розподіл</w:t>
            </w:r>
          </w:p>
        </w:tc>
        <w:tc>
          <w:tcPr>
            <w:tcW w:w="2013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Баскетболісти</w:t>
            </w:r>
          </w:p>
        </w:tc>
        <w:tc>
          <w:tcPr>
            <w:tcW w:w="1899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61 ,1 1±8,18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77,96±7,06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89,58±5,18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BE41A7" w:rsidTr="00BE41A7">
        <w:tblPrEx>
          <w:tblLook w:val="0000" w:firstRow="0" w:lastRow="0" w:firstColumn="0" w:lastColumn="0" w:noHBand="0" w:noVBand="0"/>
        </w:tblPrEx>
        <w:trPr>
          <w:gridAfter w:val="1"/>
          <w:wAfter w:w="222" w:type="dxa"/>
          <w:trHeight w:val="345"/>
        </w:trPr>
        <w:tc>
          <w:tcPr>
            <w:tcW w:w="2127" w:type="dxa"/>
            <w:vMerge/>
          </w:tcPr>
          <w:p w:rsidR="00BE41A7" w:rsidRDefault="00BE41A7" w:rsidP="00BE41A7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3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Лучники</w:t>
            </w:r>
          </w:p>
        </w:tc>
        <w:tc>
          <w:tcPr>
            <w:tcW w:w="1899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58,61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73,15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8,28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69,72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7,54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&gt;0,5</w:t>
            </w:r>
          </w:p>
        </w:tc>
      </w:tr>
      <w:tr w:rsidR="00BE41A7" w:rsidTr="00BE41A7">
        <w:tblPrEx>
          <w:tblLook w:val="0000" w:firstRow="0" w:lastRow="0" w:firstColumn="0" w:lastColumn="0" w:noHBand="0" w:noVBand="0"/>
        </w:tblPrEx>
        <w:trPr>
          <w:gridAfter w:val="1"/>
          <w:wAfter w:w="222" w:type="dxa"/>
          <w:trHeight w:val="360"/>
        </w:trPr>
        <w:tc>
          <w:tcPr>
            <w:tcW w:w="2127" w:type="dxa"/>
            <w:vMerge/>
          </w:tcPr>
          <w:p w:rsidR="00BE41A7" w:rsidRDefault="00BE41A7" w:rsidP="00BE41A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899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&gt;0,5</w:t>
            </w: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&gt;0&lt;05</w:t>
            </w:r>
          </w:p>
        </w:tc>
        <w:tc>
          <w:tcPr>
            <w:tcW w:w="972" w:type="dxa"/>
          </w:tcPr>
          <w:p w:rsidR="00BE41A7" w:rsidRPr="00BE41A7" w:rsidRDefault="00BE41A7" w:rsidP="00BE4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12" w:rsidRPr="00D36512" w:rsidRDefault="00BE41A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E41A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Також, з метою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ідвищення ефективності процессу тренування, поряд з основними засобами розвитку необхідних властивостей уваги, необхідно виявлення допоміжних. Для чого на базі кафедри фізичного виховання ВНТУ з числа студентів, які раніше не займалися ніяким видом спорту (для чистоти експерименту), були сформовані контрольна та експериментальні групи, що прийняли участь в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ічному формуючому експерименті направленому на виявлення ефективності допоміжних засобів розвитку тих чи інших властивостей уваги. У контрольній групі фізичне виховання здійснювалося в рамках традиційного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ідходу на основі зразкової робочої програми, в експериментальній групі з урахуванням мети експерименту. В якості допоміжного засобу розвитку здатності до розподілу уваги в експериментальній групі в одній частині заняття застосовувалися комплекси загальнорозвиваючих вправ з одночасним виконанням найпростіших арифметичних дій. У цьому разі виконання найпростіших арифметичних операцій, на тлі виконання відносно простих рухових дій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являє собою об'єкт діяльності, на який спрямована увага суб'єкта, що сприяє розвитку розподілу уваги. Для розвитку концентрації уваги, в заключній частині заняття були використані широко розповсюджені психотехнічні вправи такі як «Селектор», «Самий уважний »[3, 6]. Отримані експериментальні дані формуючого експерименту представлені в таблиці 2, з якої видно, що застосування виявлених засобів психологічної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ідготовки, умовно позначених нами як допоміжні, сприяють розвитку тих чи інших властивостей уваги. Відповідно, вони можуть бути реалізовані в тренувальному процесі юних спортсменів з метою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ідвищення його ефективності.</w:t>
      </w:r>
    </w:p>
    <w:p w:rsidR="00D36512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7E31" w:rsidRP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7E31" w:rsidRPr="00E37E31" w:rsidRDefault="00E37E31" w:rsidP="00E37E3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37E31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Таблиця 2</w:t>
      </w:r>
    </w:p>
    <w:p w:rsidR="00D36512" w:rsidRPr="00E37E31" w:rsidRDefault="00D36512" w:rsidP="00C330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086">
        <w:rPr>
          <w:rFonts w:ascii="Times New Roman" w:hAnsi="Times New Roman" w:cs="Times New Roman"/>
          <w:b/>
          <w:sz w:val="28"/>
          <w:szCs w:val="28"/>
        </w:rPr>
        <w:t>Динаміка показників розвиненості властивостей уваги учасників (% від мах, М ± ш)</w:t>
      </w:r>
    </w:p>
    <w:tbl>
      <w:tblPr>
        <w:tblStyle w:val="a3"/>
        <w:tblW w:w="10090" w:type="dxa"/>
        <w:tblInd w:w="-176" w:type="dxa"/>
        <w:tblLook w:val="04A0" w:firstRow="1" w:lastRow="0" w:firstColumn="1" w:lastColumn="0" w:noHBand="0" w:noVBand="1"/>
      </w:tblPr>
      <w:tblGrid>
        <w:gridCol w:w="2464"/>
        <w:gridCol w:w="2446"/>
        <w:gridCol w:w="2201"/>
        <w:gridCol w:w="15"/>
        <w:gridCol w:w="1820"/>
        <w:gridCol w:w="18"/>
        <w:gridCol w:w="1108"/>
        <w:gridCol w:w="18"/>
      </w:tblGrid>
      <w:tr w:rsidR="00C33086" w:rsidTr="00C33086">
        <w:trPr>
          <w:gridAfter w:val="1"/>
          <w:wAfter w:w="18" w:type="dxa"/>
          <w:trHeight w:val="222"/>
        </w:trPr>
        <w:tc>
          <w:tcPr>
            <w:tcW w:w="2464" w:type="dxa"/>
            <w:vMerge w:val="restart"/>
          </w:tcPr>
          <w:p w:rsidR="00C33086" w:rsidRPr="00BE41A7" w:rsidRDefault="00D36512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65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086" w:rsidRPr="00BE41A7">
              <w:rPr>
                <w:rFonts w:ascii="Times New Roman" w:hAnsi="Times New Roman" w:cs="Times New Roman"/>
                <w:sz w:val="24"/>
                <w:szCs w:val="24"/>
              </w:rPr>
              <w:t>Властивості уваги</w:t>
            </w:r>
          </w:p>
        </w:tc>
        <w:tc>
          <w:tcPr>
            <w:tcW w:w="2446" w:type="dxa"/>
            <w:vMerge w:val="restart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Групи</w:t>
            </w:r>
          </w:p>
        </w:tc>
        <w:tc>
          <w:tcPr>
            <w:tcW w:w="4036" w:type="dxa"/>
            <w:gridSpan w:val="3"/>
          </w:tcPr>
          <w:p w:rsidR="00C33086" w:rsidRPr="00C33086" w:rsidRDefault="00C33086" w:rsidP="00285B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1126" w:type="dxa"/>
            <w:gridSpan w:val="2"/>
            <w:tcBorders>
              <w:bottom w:val="nil"/>
              <w:right w:val="single" w:sz="4" w:space="0" w:color="auto"/>
            </w:tcBorders>
          </w:tcPr>
          <w:p w:rsidR="00C33086" w:rsidRDefault="00C33086" w:rsidP="00285B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651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D365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</w:tr>
      <w:tr w:rsidR="00C33086" w:rsidTr="00C33086">
        <w:trPr>
          <w:trHeight w:val="167"/>
        </w:trPr>
        <w:tc>
          <w:tcPr>
            <w:tcW w:w="2464" w:type="dxa"/>
            <w:vMerge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gridSpan w:val="2"/>
            <w:tcBorders>
              <w:bottom w:val="nil"/>
            </w:tcBorders>
          </w:tcPr>
          <w:p w:rsidR="00C33086" w:rsidRDefault="00C33086" w:rsidP="00285B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Початкові</w:t>
            </w:r>
          </w:p>
        </w:tc>
        <w:tc>
          <w:tcPr>
            <w:tcW w:w="1838" w:type="dxa"/>
            <w:gridSpan w:val="2"/>
            <w:tcBorders>
              <w:bottom w:val="nil"/>
              <w:right w:val="single" w:sz="4" w:space="0" w:color="auto"/>
            </w:tcBorders>
          </w:tcPr>
          <w:p w:rsidR="00C33086" w:rsidRPr="00C33086" w:rsidRDefault="00C33086" w:rsidP="00285B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Кінцеві</w:t>
            </w:r>
          </w:p>
        </w:tc>
        <w:tc>
          <w:tcPr>
            <w:tcW w:w="1126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:rsidR="00C33086" w:rsidRPr="00D36512" w:rsidRDefault="00C33086" w:rsidP="00285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86" w:rsidRPr="00BE41A7" w:rsidTr="00C33086">
        <w:trPr>
          <w:trHeight w:val="194"/>
        </w:trPr>
        <w:tc>
          <w:tcPr>
            <w:tcW w:w="2464" w:type="dxa"/>
            <w:vMerge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gridSpan w:val="3"/>
            <w:tcBorders>
              <w:top w:val="nil"/>
            </w:tcBorders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gridSpan w:val="2"/>
            <w:vMerge/>
            <w:tcBorders>
              <w:top w:val="nil"/>
            </w:tcBorders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086" w:rsidRPr="00C33086" w:rsidTr="00C33086">
        <w:trPr>
          <w:trHeight w:val="250"/>
        </w:trPr>
        <w:tc>
          <w:tcPr>
            <w:tcW w:w="2464" w:type="dxa"/>
            <w:vMerge w:val="restart"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Концентрація</w:t>
            </w:r>
          </w:p>
        </w:tc>
        <w:tc>
          <w:tcPr>
            <w:tcW w:w="2446" w:type="dxa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Контрольна</w:t>
            </w:r>
          </w:p>
        </w:tc>
        <w:tc>
          <w:tcPr>
            <w:tcW w:w="2201" w:type="dxa"/>
          </w:tcPr>
          <w:p w:rsidR="00C33086" w:rsidRPr="00C33086" w:rsidRDefault="00C33086" w:rsidP="00C33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16,46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1,016</w:t>
            </w:r>
          </w:p>
        </w:tc>
        <w:tc>
          <w:tcPr>
            <w:tcW w:w="1126" w:type="dxa"/>
            <w:gridSpan w:val="2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&gt;0,05</w:t>
            </w:r>
          </w:p>
        </w:tc>
      </w:tr>
      <w:tr w:rsidR="00C33086" w:rsidRPr="00C33086" w:rsidTr="00C33086">
        <w:trPr>
          <w:trHeight w:val="134"/>
        </w:trPr>
        <w:tc>
          <w:tcPr>
            <w:tcW w:w="2464" w:type="dxa"/>
            <w:vMerge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Експерементальна</w:t>
            </w:r>
          </w:p>
        </w:tc>
        <w:tc>
          <w:tcPr>
            <w:tcW w:w="2201" w:type="dxa"/>
          </w:tcPr>
          <w:p w:rsidR="00C33086" w:rsidRPr="00C33086" w:rsidRDefault="00C33086" w:rsidP="00C3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15.70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1.287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0,735</w:t>
            </w:r>
          </w:p>
        </w:tc>
        <w:tc>
          <w:tcPr>
            <w:tcW w:w="1126" w:type="dxa"/>
            <w:gridSpan w:val="2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33086" w:rsidRPr="00C33086" w:rsidTr="00C33086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2464" w:type="dxa"/>
            <w:vMerge/>
          </w:tcPr>
          <w:p w:rsidR="00C33086" w:rsidRPr="00C33086" w:rsidRDefault="00C33086" w:rsidP="00285BA1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01" w:type="dxa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26" w:type="dxa"/>
            <w:gridSpan w:val="2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086" w:rsidRPr="00C33086" w:rsidTr="00C33086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2464" w:type="dxa"/>
            <w:vMerge w:val="restart"/>
          </w:tcPr>
          <w:p w:rsidR="00C33086" w:rsidRPr="00C33086" w:rsidRDefault="00C33086" w:rsidP="00285BA1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Переклю чення і розподіл</w:t>
            </w:r>
          </w:p>
        </w:tc>
        <w:tc>
          <w:tcPr>
            <w:tcW w:w="2446" w:type="dxa"/>
          </w:tcPr>
          <w:p w:rsidR="00C33086" w:rsidRPr="00C33086" w:rsidRDefault="00C33086" w:rsidP="00C33086">
            <w:pPr>
              <w:ind w:left="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512">
              <w:rPr>
                <w:rFonts w:ascii="Times New Roman" w:hAnsi="Times New Roman" w:cs="Times New Roman"/>
                <w:sz w:val="28"/>
                <w:szCs w:val="28"/>
              </w:rPr>
              <w:t>Контрольна</w:t>
            </w:r>
          </w:p>
        </w:tc>
        <w:tc>
          <w:tcPr>
            <w:tcW w:w="2201" w:type="dxa"/>
          </w:tcPr>
          <w:p w:rsidR="00C33086" w:rsidRPr="00C33086" w:rsidRDefault="00C33086" w:rsidP="00C33086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81.26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1.113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C33086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82.12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1.113</w:t>
            </w:r>
          </w:p>
        </w:tc>
        <w:tc>
          <w:tcPr>
            <w:tcW w:w="1126" w:type="dxa"/>
            <w:gridSpan w:val="2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33086" w:rsidRPr="00C33086" w:rsidTr="00C33086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2464" w:type="dxa"/>
            <w:vMerge/>
          </w:tcPr>
          <w:p w:rsidR="00C33086" w:rsidRPr="00C33086" w:rsidRDefault="00C33086" w:rsidP="00285BA1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C33086" w:rsidRPr="00C33086" w:rsidRDefault="00C33086" w:rsidP="00C330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Експерементальна</w:t>
            </w:r>
          </w:p>
        </w:tc>
        <w:tc>
          <w:tcPr>
            <w:tcW w:w="2201" w:type="dxa"/>
          </w:tcPr>
          <w:p w:rsidR="00C33086" w:rsidRPr="00C33086" w:rsidRDefault="00C33086" w:rsidP="00C33086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81.08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1.226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C33086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90.16</w:t>
            </w: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1.226</w:t>
            </w:r>
          </w:p>
        </w:tc>
        <w:tc>
          <w:tcPr>
            <w:tcW w:w="1126" w:type="dxa"/>
            <w:gridSpan w:val="2"/>
          </w:tcPr>
          <w:p w:rsidR="00C33086" w:rsidRPr="00C33086" w:rsidRDefault="00C33086" w:rsidP="00285BA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&gt;0,5</w:t>
            </w:r>
          </w:p>
        </w:tc>
      </w:tr>
      <w:tr w:rsidR="00C33086" w:rsidRPr="00BE41A7" w:rsidTr="00C33086">
        <w:tblPrEx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2464" w:type="dxa"/>
            <w:vMerge/>
          </w:tcPr>
          <w:p w:rsidR="00C33086" w:rsidRDefault="00C33086" w:rsidP="00285BA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BE4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01" w:type="dxa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&gt;0,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3" w:type="dxa"/>
            <w:gridSpan w:val="3"/>
          </w:tcPr>
          <w:p w:rsidR="00C33086" w:rsidRPr="00C33086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08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26" w:type="dxa"/>
            <w:gridSpan w:val="2"/>
          </w:tcPr>
          <w:p w:rsidR="00C33086" w:rsidRPr="00BE41A7" w:rsidRDefault="00C33086" w:rsidP="00285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7E31" w:rsidRDefault="00BE41A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308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36512" w:rsidRPr="00BE41A7">
        <w:rPr>
          <w:rFonts w:ascii="Times New Roman" w:hAnsi="Times New Roman" w:cs="Times New Roman"/>
          <w:b/>
          <w:sz w:val="28"/>
          <w:szCs w:val="28"/>
        </w:rPr>
        <w:t>Висновки.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 В результаті аналізу науково-методичної літератури та на основі отриманих експериментальних даних нами був сформульований ряд висновкі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.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 1) Психологічна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ідготовка спортсменів, представляючи собою специфічний вид підготовки, поряд з іншими (фізичної і рухової) може бути підрозділена на загальну і спеціальну. Основною метою загальної психологічної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ідготовки є формування морально- вольових якостей спортсменів, що обумовлюють ефективність багаторічного тренувального процесу, і емоційний настрій на досягнення максимально можливого змагального результату. Метою спеціальної психологічної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>ідготовки є цілеспрямований розвиток специфічних властивостей психічних процесів, які відповідають за результативність виконання конкретної змагальної вправи. Якщо змі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 загальної психологічної підготовки спортсменів які спеціалізуються в різних видах спорту, не має особливих відмінностей в методах і засобах, то специфіка реалізації засобів спеціальної психологічної підготовки безпосередньо обумовлюється видом спорту. 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36512" w:rsidRPr="00E37E31">
        <w:rPr>
          <w:rFonts w:ascii="Times New Roman" w:hAnsi="Times New Roman" w:cs="Times New Roman"/>
          <w:sz w:val="28"/>
          <w:szCs w:val="28"/>
          <w:lang w:val="uk-UA"/>
        </w:rPr>
        <w:t xml:space="preserve">2) В результаті багаторічного тренувального процесу, в залежності від характеру основної взаємодії при виконанні змагальної вправи розвиваються специфічні властивості психічних процесів, що обумовлюють її ефективність, відповідно при відборі в спортивні секції посилання на силу нервових процесів не є визначальними. 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36512" w:rsidRPr="00D36512">
        <w:rPr>
          <w:rFonts w:ascii="Times New Roman" w:hAnsi="Times New Roman" w:cs="Times New Roman"/>
          <w:sz w:val="28"/>
          <w:szCs w:val="28"/>
        </w:rPr>
        <w:t xml:space="preserve">3) Отримані результати </w:t>
      </w:r>
      <w:proofErr w:type="gramStart"/>
      <w:r w:rsidR="00D36512" w:rsidRPr="00D3651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="00D36512" w:rsidRPr="00D36512">
        <w:rPr>
          <w:rFonts w:ascii="Times New Roman" w:hAnsi="Times New Roman" w:cs="Times New Roman"/>
          <w:sz w:val="28"/>
          <w:szCs w:val="28"/>
        </w:rPr>
        <w:t xml:space="preserve">ідження можуть бути покладені в основу визначення критеріїв психологічної підготовленості спортсмена (в нашому випадку розвиненості властивостей психічних процесів) до виконання тої чи іншої змагальної вправи. </w:t>
      </w:r>
    </w:p>
    <w:p w:rsidR="00E37E31" w:rsidRDefault="00E37E3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</w:t>
      </w:r>
      <w:r w:rsidR="00D36512" w:rsidRPr="00D36512">
        <w:rPr>
          <w:rFonts w:ascii="Times New Roman" w:hAnsi="Times New Roman" w:cs="Times New Roman"/>
          <w:sz w:val="28"/>
          <w:szCs w:val="28"/>
        </w:rPr>
        <w:t>ЛІТЕРАТУРА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1. Баскакова І.Л. Д еякі можливості обробки експериментальних даних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ійкості уваги за методом коректурної проби / І.Л. Б аск ак о ва// Питання психології. - 1968. - № 3. - С. 161-167.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2. Грановська, P.M . Елементи практичної психології / P.M. Грановська. - 2-ге вид. - Л.: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Вид-во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Ленінгр. ун-ту, 1988. - 560 с.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3. М етодики психодіагностики в спорті: навч.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ібник для студентів пед. інст. по</w:t>
      </w:r>
      <w:r w:rsidR="00E37E31">
        <w:rPr>
          <w:rFonts w:ascii="Times New Roman" w:hAnsi="Times New Roman" w:cs="Times New Roman"/>
          <w:sz w:val="28"/>
          <w:szCs w:val="28"/>
        </w:rPr>
        <w:t xml:space="preserve"> спец. «Фіз. воспит. »/ В Л</w:t>
      </w:r>
      <w:proofErr w:type="gramStart"/>
      <w:r w:rsidR="00E37E3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37E31">
        <w:rPr>
          <w:rFonts w:ascii="Times New Roman" w:hAnsi="Times New Roman" w:cs="Times New Roman"/>
          <w:sz w:val="28"/>
          <w:szCs w:val="28"/>
        </w:rPr>
        <w:t xml:space="preserve"> М</w:t>
      </w:r>
      <w:r w:rsidRPr="00D36512">
        <w:rPr>
          <w:rFonts w:ascii="Times New Roman" w:hAnsi="Times New Roman" w:cs="Times New Roman"/>
          <w:sz w:val="28"/>
          <w:szCs w:val="28"/>
        </w:rPr>
        <w:t xml:space="preserve">арищ ук, Ю .М . Блудов, В.А. П лахтієнко, Л.К. Серова. - М.: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росвещ ение, 1984. - 191 с. 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37E31">
        <w:rPr>
          <w:rFonts w:ascii="Times New Roman" w:hAnsi="Times New Roman" w:cs="Times New Roman"/>
          <w:sz w:val="28"/>
          <w:szCs w:val="28"/>
          <w:lang w:val="uk-UA"/>
        </w:rPr>
        <w:t xml:space="preserve">4. Практикум з загальної та експериментальної психології: навчальний посібник / В.Д. Балин, В.К. Гайда, В.А. Гайзен та ін; під заг. ред. </w:t>
      </w:r>
      <w:r w:rsidRPr="00D36512">
        <w:rPr>
          <w:rFonts w:ascii="Times New Roman" w:hAnsi="Times New Roman" w:cs="Times New Roman"/>
          <w:sz w:val="28"/>
          <w:szCs w:val="28"/>
        </w:rPr>
        <w:t xml:space="preserve">A.A. Крилова. - Л.: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Вид-во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Ленінгр. ун-ту, 1987. - 255 с.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 5. Немов, P.C. Психологія: навч. для студ. Вища. пед. учеб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акладів: у 3-х кн. - 4-е вид. - М.: ВЛАДОС, 2003. - Кн. 1: Загальні основи психології. - 688 с. 6. Практикум з загальної психології: навч.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ібник для студентів пед. інст. / АЛ. Абраменко, A.A. Алексеев, В.В. Богословський і ін;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ід ред. А.І. Щ ербакова. - 2-ге вид., Перероб. і доп. - М.: Просвещ ение, 1990. - 288 с. 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512">
        <w:rPr>
          <w:rFonts w:ascii="Times New Roman" w:hAnsi="Times New Roman" w:cs="Times New Roman"/>
          <w:sz w:val="28"/>
          <w:szCs w:val="28"/>
        </w:rPr>
        <w:t xml:space="preserve">7. Психологія ф ізичного виховання і спорту: навчальний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 xml:space="preserve">ібник для ін-тів фіз. культ. /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ід ред. Т.Т. Джамгарова, А.Ц. Пуні. - М.: Ф ізкультура і спорт, 1979. - 143 с.</w:t>
      </w:r>
    </w:p>
    <w:p w:rsidR="00E37E31" w:rsidRDefault="00D3651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37E31">
        <w:rPr>
          <w:rFonts w:ascii="Times New Roman" w:hAnsi="Times New Roman" w:cs="Times New Roman"/>
          <w:sz w:val="28"/>
          <w:szCs w:val="28"/>
          <w:lang w:val="uk-UA"/>
        </w:rPr>
        <w:t xml:space="preserve"> 8. Русалов, В.М. Про зв'язок стійкості уваги при роботі з коректурної таблицею з частотою альфа- ритму ф онової ЕКГ / В.М. Русалов, Л. М екаччі / / Питання психології, - 1973. - № 3. - С. 33-43.</w:t>
      </w:r>
    </w:p>
    <w:p w:rsidR="00D36512" w:rsidRPr="00D36512" w:rsidRDefault="00D36512">
      <w:pPr>
        <w:rPr>
          <w:rFonts w:ascii="Times New Roman" w:hAnsi="Times New Roman" w:cs="Times New Roman"/>
          <w:sz w:val="28"/>
          <w:szCs w:val="28"/>
        </w:rPr>
      </w:pPr>
      <w:r w:rsidRPr="00E37E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6512">
        <w:rPr>
          <w:rFonts w:ascii="Times New Roman" w:hAnsi="Times New Roman" w:cs="Times New Roman"/>
          <w:sz w:val="28"/>
          <w:szCs w:val="28"/>
        </w:rPr>
        <w:t xml:space="preserve">9. Смирнов, А.Г. Практикум з загальної психології: навч. </w:t>
      </w:r>
      <w:proofErr w:type="gramStart"/>
      <w:r w:rsidRPr="00D3651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D36512">
        <w:rPr>
          <w:rFonts w:ascii="Times New Roman" w:hAnsi="Times New Roman" w:cs="Times New Roman"/>
          <w:sz w:val="28"/>
          <w:szCs w:val="28"/>
        </w:rPr>
        <w:t>ібник / А.Г. Смирнов. - М.: Изд-во Інституту психотерапії, 2001. - 224 с.</w:t>
      </w:r>
    </w:p>
    <w:sectPr w:rsidR="00D36512" w:rsidRPr="00D36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9E"/>
    <w:rsid w:val="00031A9D"/>
    <w:rsid w:val="00820F46"/>
    <w:rsid w:val="0098209E"/>
    <w:rsid w:val="00BE41A7"/>
    <w:rsid w:val="00C33086"/>
    <w:rsid w:val="00D36512"/>
    <w:rsid w:val="00E3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2016-05-18T11:31:00Z</dcterms:created>
  <dcterms:modified xsi:type="dcterms:W3CDTF">2016-05-18T12:16:00Z</dcterms:modified>
</cp:coreProperties>
</file>