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BC0" w:rsidRPr="00431BC0" w:rsidRDefault="00BA0769" w:rsidP="00431BC0">
      <w:pPr>
        <w:tabs>
          <w:tab w:val="left" w:pos="5475"/>
        </w:tabs>
        <w:spacing w:line="360" w:lineRule="auto"/>
        <w:jc w:val="right"/>
        <w:rPr>
          <w:rFonts w:ascii="Arial" w:hAnsi="Arial" w:cs="Arial"/>
          <w:b/>
          <w:caps/>
          <w:sz w:val="28"/>
          <w:szCs w:val="28"/>
        </w:rPr>
      </w:pPr>
      <w:r w:rsidRPr="00BA0769">
        <w:rPr>
          <w:rFonts w:ascii="Arial" w:hAnsi="Arial" w:cs="Arial"/>
          <w:b/>
          <w:caps/>
          <w:sz w:val="28"/>
          <w:szCs w:val="28"/>
        </w:rPr>
        <w:t>УДК 621.311:69</w:t>
      </w:r>
      <w:r w:rsidR="00431BC0">
        <w:rPr>
          <w:rFonts w:ascii="Arial" w:hAnsi="Arial" w:cs="Arial"/>
          <w:b/>
          <w:caps/>
          <w:sz w:val="28"/>
          <w:szCs w:val="28"/>
        </w:rPr>
        <w:t xml:space="preserve">                     </w:t>
      </w:r>
      <w:r w:rsidR="00431BC0" w:rsidRPr="00431BC0">
        <w:rPr>
          <w:rFonts w:ascii="Arial" w:hAnsi="Arial" w:cs="Arial"/>
          <w:b/>
        </w:rPr>
        <w:t>Вінницький національний технічний університет</w:t>
      </w:r>
    </w:p>
    <w:p w:rsidR="00431BC0" w:rsidRDefault="00431BC0" w:rsidP="00BA0769">
      <w:pPr>
        <w:spacing w:line="360" w:lineRule="auto"/>
        <w:jc w:val="center"/>
        <w:rPr>
          <w:rFonts w:ascii="Arial" w:hAnsi="Arial" w:cs="Arial"/>
          <w:b/>
          <w:caps/>
          <w:sz w:val="32"/>
          <w:szCs w:val="32"/>
        </w:rPr>
      </w:pPr>
    </w:p>
    <w:p w:rsidR="00431BC0" w:rsidRDefault="00A34E30" w:rsidP="00BA0769">
      <w:pPr>
        <w:spacing w:line="36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можливі </w:t>
      </w:r>
      <w:r w:rsidR="00BA0769" w:rsidRPr="00431BC0">
        <w:rPr>
          <w:rFonts w:ascii="Arial" w:hAnsi="Arial" w:cs="Arial"/>
          <w:b/>
          <w:caps/>
          <w:sz w:val="32"/>
          <w:szCs w:val="32"/>
        </w:rPr>
        <w:t>джерела</w:t>
      </w:r>
      <w:r w:rsidRPr="00A34E30">
        <w:rPr>
          <w:rFonts w:ascii="Arial" w:hAnsi="Arial" w:cs="Arial"/>
          <w:b/>
          <w:caps/>
          <w:sz w:val="32"/>
          <w:szCs w:val="32"/>
        </w:rPr>
        <w:t xml:space="preserve"> </w:t>
      </w:r>
      <w:r>
        <w:rPr>
          <w:rFonts w:ascii="Arial" w:hAnsi="Arial" w:cs="Arial"/>
          <w:b/>
          <w:caps/>
          <w:sz w:val="32"/>
          <w:szCs w:val="32"/>
        </w:rPr>
        <w:t xml:space="preserve">та </w:t>
      </w:r>
      <w:r w:rsidRPr="00431BC0">
        <w:rPr>
          <w:rFonts w:ascii="Arial" w:hAnsi="Arial" w:cs="Arial"/>
          <w:b/>
          <w:caps/>
          <w:sz w:val="32"/>
          <w:szCs w:val="32"/>
        </w:rPr>
        <w:t>форми</w:t>
      </w:r>
      <w:r w:rsidR="00BA0769" w:rsidRPr="00431BC0">
        <w:rPr>
          <w:rFonts w:ascii="Arial" w:hAnsi="Arial" w:cs="Arial"/>
          <w:b/>
          <w:caps/>
          <w:sz w:val="32"/>
          <w:szCs w:val="32"/>
        </w:rPr>
        <w:t xml:space="preserve"> фінансування </w:t>
      </w:r>
    </w:p>
    <w:p w:rsidR="00BA0769" w:rsidRPr="00431BC0" w:rsidRDefault="00BA0769" w:rsidP="00BA0769">
      <w:pPr>
        <w:spacing w:line="36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431BC0">
        <w:rPr>
          <w:rFonts w:ascii="Arial" w:hAnsi="Arial" w:cs="Arial"/>
          <w:b/>
          <w:caps/>
          <w:sz w:val="32"/>
          <w:szCs w:val="32"/>
        </w:rPr>
        <w:t>проектів з енергозбереження</w:t>
      </w:r>
    </w:p>
    <w:p w:rsidR="00BA0769" w:rsidRDefault="00BA0769" w:rsidP="00BA0769">
      <w:pPr>
        <w:spacing w:line="360" w:lineRule="auto"/>
        <w:ind w:firstLine="540"/>
        <w:jc w:val="center"/>
        <w:rPr>
          <w:rFonts w:ascii="Arial" w:hAnsi="Arial" w:cs="Arial"/>
          <w:sz w:val="28"/>
          <w:szCs w:val="28"/>
        </w:rPr>
      </w:pPr>
      <w:proofErr w:type="spellStart"/>
      <w:r w:rsidRPr="00BA0769">
        <w:rPr>
          <w:rFonts w:ascii="Arial" w:hAnsi="Arial" w:cs="Arial"/>
          <w:sz w:val="28"/>
          <w:szCs w:val="28"/>
        </w:rPr>
        <w:t>Франишина</w:t>
      </w:r>
      <w:proofErr w:type="spellEnd"/>
      <w:r w:rsidRPr="00BA0769">
        <w:rPr>
          <w:rFonts w:ascii="Arial" w:hAnsi="Arial" w:cs="Arial"/>
          <w:sz w:val="28"/>
          <w:szCs w:val="28"/>
        </w:rPr>
        <w:t xml:space="preserve"> С.Ю. </w:t>
      </w:r>
    </w:p>
    <w:p w:rsidR="003D3D0B" w:rsidRDefault="003D3D0B" w:rsidP="00BA0769">
      <w:pPr>
        <w:spacing w:line="360" w:lineRule="auto"/>
        <w:ind w:firstLine="540"/>
        <w:jc w:val="center"/>
        <w:rPr>
          <w:rFonts w:ascii="Arial" w:hAnsi="Arial" w:cs="Arial"/>
          <w:sz w:val="28"/>
          <w:szCs w:val="28"/>
        </w:rPr>
      </w:pPr>
    </w:p>
    <w:p w:rsidR="00BA0769" w:rsidRPr="003D3D0B" w:rsidRDefault="003D3D0B" w:rsidP="00BA0769">
      <w:pPr>
        <w:spacing w:line="360" w:lineRule="auto"/>
        <w:ind w:firstLine="540"/>
        <w:jc w:val="center"/>
        <w:rPr>
          <w:rFonts w:ascii="Arial" w:hAnsi="Arial" w:cs="Arial"/>
          <w:b/>
          <w:sz w:val="28"/>
          <w:szCs w:val="28"/>
        </w:rPr>
      </w:pPr>
      <w:r w:rsidRPr="003D3D0B">
        <w:rPr>
          <w:rFonts w:ascii="Arial" w:hAnsi="Arial" w:cs="Arial"/>
          <w:b/>
          <w:sz w:val="28"/>
          <w:szCs w:val="28"/>
        </w:rPr>
        <w:t>ВСТУП</w:t>
      </w:r>
    </w:p>
    <w:p w:rsidR="007F662C" w:rsidRDefault="00BA0769" w:rsidP="00BA0769">
      <w:pPr>
        <w:spacing w:line="360" w:lineRule="auto"/>
        <w:ind w:firstLine="36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Ключовою проблемою на сьогодні </w:t>
      </w:r>
      <w:r w:rsidR="00B75DBC">
        <w:rPr>
          <w:rFonts w:ascii="Arial" w:hAnsi="Arial" w:cs="Arial"/>
          <w:sz w:val="28"/>
          <w:szCs w:val="28"/>
        </w:rPr>
        <w:t>в реалізації політики</w:t>
      </w:r>
      <w:r>
        <w:rPr>
          <w:rFonts w:ascii="Arial" w:hAnsi="Arial" w:cs="Arial"/>
          <w:sz w:val="28"/>
          <w:szCs w:val="28"/>
        </w:rPr>
        <w:t xml:space="preserve"> енергозбереження є удосконален</w:t>
      </w:r>
      <w:r w:rsidR="00B75DBC">
        <w:rPr>
          <w:rFonts w:ascii="Arial" w:hAnsi="Arial" w:cs="Arial"/>
          <w:sz w:val="28"/>
          <w:szCs w:val="28"/>
        </w:rPr>
        <w:t>ня механізмів його фінансування</w:t>
      </w:r>
      <w:r>
        <w:rPr>
          <w:rFonts w:ascii="Arial" w:hAnsi="Arial" w:cs="Arial"/>
          <w:sz w:val="28"/>
          <w:szCs w:val="28"/>
        </w:rPr>
        <w:t xml:space="preserve"> не лише за рахунок самофінансування підприємствами,</w:t>
      </w:r>
      <w:r w:rsidR="007F662C">
        <w:rPr>
          <w:rFonts w:ascii="Arial" w:hAnsi="Arial" w:cs="Arial"/>
          <w:sz w:val="28"/>
          <w:szCs w:val="28"/>
        </w:rPr>
        <w:t xml:space="preserve"> а</w:t>
      </w:r>
      <w:r>
        <w:rPr>
          <w:rFonts w:ascii="Arial" w:hAnsi="Arial" w:cs="Arial"/>
          <w:sz w:val="28"/>
          <w:szCs w:val="28"/>
        </w:rPr>
        <w:t xml:space="preserve"> </w:t>
      </w:r>
      <w:r w:rsidR="00B75DBC">
        <w:rPr>
          <w:rFonts w:ascii="Arial" w:hAnsi="Arial" w:cs="Arial"/>
          <w:sz w:val="28"/>
          <w:szCs w:val="28"/>
        </w:rPr>
        <w:t xml:space="preserve">й </w:t>
      </w:r>
      <w:r>
        <w:rPr>
          <w:rFonts w:ascii="Arial" w:hAnsi="Arial" w:cs="Arial"/>
          <w:sz w:val="28"/>
          <w:szCs w:val="28"/>
        </w:rPr>
        <w:t>застосування диференційованих форм</w:t>
      </w:r>
      <w:r w:rsidRPr="00BA076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та джерел </w:t>
      </w:r>
      <w:r w:rsidR="007F662C">
        <w:rPr>
          <w:rFonts w:ascii="Arial" w:hAnsi="Arial" w:cs="Arial"/>
          <w:sz w:val="28"/>
          <w:szCs w:val="28"/>
        </w:rPr>
        <w:t>залучення фінансових ресурсів для інвестиційних проектів у галузі енергозбереження та енергоефективності. Відсутність реальних джерел фінансування та обігових коштів у переважній біль</w:t>
      </w:r>
      <w:r w:rsidR="00B75DBC">
        <w:rPr>
          <w:rFonts w:ascii="Arial" w:hAnsi="Arial" w:cs="Arial"/>
          <w:sz w:val="28"/>
          <w:szCs w:val="28"/>
        </w:rPr>
        <w:t xml:space="preserve">шості українських підприємств </w:t>
      </w:r>
      <w:r w:rsidR="007F662C">
        <w:rPr>
          <w:rFonts w:ascii="Arial" w:hAnsi="Arial" w:cs="Arial"/>
          <w:sz w:val="28"/>
          <w:szCs w:val="28"/>
        </w:rPr>
        <w:t xml:space="preserve">є основною причиною недостатньо активної та дієвої політики енергозбереження </w:t>
      </w:r>
      <w:r w:rsidR="00B75DBC">
        <w:rPr>
          <w:rFonts w:ascii="Arial" w:hAnsi="Arial" w:cs="Arial"/>
          <w:sz w:val="28"/>
          <w:szCs w:val="28"/>
        </w:rPr>
        <w:t>та відповідно низької енергоефективності вітчизняної економіки.</w:t>
      </w:r>
    </w:p>
    <w:p w:rsidR="00BA0769" w:rsidRDefault="007F662C" w:rsidP="00B75DBC">
      <w:pPr>
        <w:spacing w:line="360" w:lineRule="auto"/>
        <w:ind w:firstLine="36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Більшість представників бізнесу та суб’єктів господарських відносин й досі помилково трактують економічний інтерес від впровадження енергозбереження та сприймають політику енергозбереження </w:t>
      </w:r>
      <w:r w:rsidR="003D3D0B">
        <w:rPr>
          <w:rFonts w:ascii="Arial" w:hAnsi="Arial" w:cs="Arial"/>
          <w:sz w:val="28"/>
          <w:szCs w:val="28"/>
        </w:rPr>
        <w:t>як загрозу своїм прибуткам. Загалом, в Україні залишається нереалізованим системний підхід щодо вирішення проблеми енергозбереження, яка залишається усвідомленою лише вузькому колу українського люду.</w:t>
      </w:r>
    </w:p>
    <w:p w:rsidR="003D3D0B" w:rsidRPr="00BA0769" w:rsidRDefault="00B75DBC" w:rsidP="00BA0769">
      <w:pPr>
        <w:spacing w:line="360" w:lineRule="auto"/>
        <w:ind w:firstLine="36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Метою даного</w:t>
      </w:r>
      <w:r w:rsidR="003D3D0B" w:rsidRPr="00660717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дослідження</w:t>
      </w:r>
      <w:r w:rsidR="003D3D0B">
        <w:rPr>
          <w:rFonts w:ascii="Arial" w:hAnsi="Arial" w:cs="Arial"/>
          <w:sz w:val="28"/>
          <w:szCs w:val="28"/>
        </w:rPr>
        <w:t xml:space="preserve"> є вивчення можливих форм та джерел фінансування проектів з енергозбереження, пошук оптимальних шляхів формування фінансових ресурсів для реалізації енергозберігаючої діяльності на підприємствах.</w:t>
      </w:r>
    </w:p>
    <w:p w:rsidR="00BA0769" w:rsidRDefault="00BA0769" w:rsidP="00BA0769">
      <w:pPr>
        <w:spacing w:line="360" w:lineRule="auto"/>
        <w:ind w:firstLine="360"/>
        <w:jc w:val="both"/>
        <w:rPr>
          <w:rFonts w:ascii="Arial" w:hAnsi="Arial" w:cs="Arial"/>
          <w:sz w:val="28"/>
          <w:szCs w:val="28"/>
        </w:rPr>
      </w:pPr>
      <w:r w:rsidRPr="00BA0769">
        <w:rPr>
          <w:rFonts w:ascii="Arial" w:hAnsi="Arial" w:cs="Arial"/>
          <w:sz w:val="28"/>
          <w:szCs w:val="28"/>
        </w:rPr>
        <w:t xml:space="preserve"> </w:t>
      </w:r>
      <w:r w:rsidR="00076513">
        <w:rPr>
          <w:rFonts w:ascii="Arial" w:hAnsi="Arial" w:cs="Arial"/>
          <w:sz w:val="28"/>
          <w:szCs w:val="28"/>
        </w:rPr>
        <w:t>Здійснюючи розподіл фінансування інвестицій за джерелами надходження, варто визначити два основних їх ви</w:t>
      </w:r>
      <w:r w:rsidR="00B75DBC">
        <w:rPr>
          <w:rFonts w:ascii="Arial" w:hAnsi="Arial" w:cs="Arial"/>
          <w:sz w:val="28"/>
          <w:szCs w:val="28"/>
        </w:rPr>
        <w:t>ди внутрішні та зовнішні</w:t>
      </w:r>
      <w:r w:rsidR="00076513">
        <w:rPr>
          <w:rFonts w:ascii="Arial" w:hAnsi="Arial" w:cs="Arial"/>
          <w:sz w:val="28"/>
          <w:szCs w:val="28"/>
        </w:rPr>
        <w:t xml:space="preserve">. До внутрішніх джерел фінансування варто віднести власний капітал підприємства, випуск акцій, інвестиційні кредити комерційних </w:t>
      </w:r>
      <w:r w:rsidR="00076513">
        <w:rPr>
          <w:rFonts w:ascii="Arial" w:hAnsi="Arial" w:cs="Arial"/>
          <w:sz w:val="28"/>
          <w:szCs w:val="28"/>
        </w:rPr>
        <w:lastRenderedPageBreak/>
        <w:t xml:space="preserve">банків, бюджетне фінансування, </w:t>
      </w:r>
      <w:r w:rsidR="006467E7">
        <w:rPr>
          <w:rFonts w:ascii="Arial" w:hAnsi="Arial" w:cs="Arial"/>
          <w:sz w:val="28"/>
          <w:szCs w:val="28"/>
        </w:rPr>
        <w:t xml:space="preserve">спеціалізовані фонди, гранти, енергосервісні компанії, </w:t>
      </w:r>
      <w:r w:rsidR="00076513">
        <w:rPr>
          <w:rFonts w:ascii="Arial" w:hAnsi="Arial" w:cs="Arial"/>
          <w:sz w:val="28"/>
          <w:szCs w:val="28"/>
        </w:rPr>
        <w:t>лізинг, інші.</w:t>
      </w:r>
    </w:p>
    <w:p w:rsidR="00076513" w:rsidRDefault="00076513" w:rsidP="00BA0769">
      <w:pPr>
        <w:spacing w:line="360" w:lineRule="auto"/>
        <w:ind w:firstLine="36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До зовнішніх джерел фінансування енергозберігаючих проектів належать: прямі іноземні інвестиції, портфельні зарубіжні інвестиції, кредити зарубіжних </w:t>
      </w:r>
      <w:r w:rsidR="006467E7">
        <w:rPr>
          <w:rFonts w:ascii="Arial" w:hAnsi="Arial" w:cs="Arial"/>
          <w:sz w:val="28"/>
          <w:szCs w:val="28"/>
        </w:rPr>
        <w:t>банків або інвестиційних компаній, позики міжнародних банків розвитку, технічна допомога, міжнародні фонди тощо.</w:t>
      </w:r>
    </w:p>
    <w:p w:rsidR="006D7939" w:rsidRPr="00BA0769" w:rsidRDefault="006467E7" w:rsidP="000A0666">
      <w:pPr>
        <w:spacing w:line="360" w:lineRule="auto"/>
        <w:ind w:firstLine="36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Об’єднавши усі можливі джерела фінансування та визначивши форми їх отримання, підприємство, з урахуванням масштабності та спрямованості проекту, ст</w:t>
      </w:r>
      <w:r w:rsidR="00B75DBC">
        <w:rPr>
          <w:rFonts w:ascii="Arial" w:hAnsi="Arial" w:cs="Arial"/>
          <w:sz w:val="28"/>
          <w:szCs w:val="28"/>
        </w:rPr>
        <w:t>ратегічних цілей свого розвитку</w:t>
      </w:r>
      <w:r>
        <w:rPr>
          <w:rFonts w:ascii="Arial" w:hAnsi="Arial" w:cs="Arial"/>
          <w:sz w:val="28"/>
          <w:szCs w:val="28"/>
        </w:rPr>
        <w:t xml:space="preserve"> може самостійно обирати</w:t>
      </w:r>
      <w:r w:rsidR="00B75DBC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за рахунок яких джерел та в якій формі фінансувати свій проект (табл.1)</w:t>
      </w:r>
      <w:r w:rsidRPr="006467E7">
        <w:rPr>
          <w:rFonts w:ascii="Arial" w:hAnsi="Arial" w:cs="Arial"/>
          <w:sz w:val="28"/>
          <w:szCs w:val="28"/>
        </w:rPr>
        <w:t>[</w:t>
      </w:r>
      <w:r w:rsidR="007D6F69">
        <w:rPr>
          <w:rFonts w:ascii="Arial" w:hAnsi="Arial" w:cs="Arial"/>
          <w:sz w:val="28"/>
          <w:szCs w:val="28"/>
        </w:rPr>
        <w:t>1,2</w:t>
      </w:r>
      <w:r w:rsidRPr="006467E7">
        <w:rPr>
          <w:rFonts w:ascii="Arial" w:hAnsi="Arial" w:cs="Arial"/>
          <w:sz w:val="28"/>
          <w:szCs w:val="28"/>
        </w:rPr>
        <w:t>]</w:t>
      </w:r>
      <w:r w:rsidR="000A0666">
        <w:rPr>
          <w:rFonts w:ascii="Arial" w:hAnsi="Arial" w:cs="Arial"/>
          <w:sz w:val="28"/>
          <w:szCs w:val="28"/>
        </w:rPr>
        <w:t>.</w:t>
      </w:r>
    </w:p>
    <w:p w:rsidR="00BA0769" w:rsidRPr="00BA0769" w:rsidRDefault="003D3D0B" w:rsidP="003D3D0B">
      <w:pPr>
        <w:spacing w:line="360" w:lineRule="auto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Таблиця 1</w:t>
      </w:r>
    </w:p>
    <w:p w:rsidR="00BA0769" w:rsidRPr="006467E7" w:rsidRDefault="00BA0769" w:rsidP="003D3D0B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6467E7">
        <w:rPr>
          <w:rFonts w:ascii="Arial" w:hAnsi="Arial" w:cs="Arial"/>
          <w:b/>
          <w:sz w:val="28"/>
          <w:szCs w:val="28"/>
        </w:rPr>
        <w:t>Джерела і форми фінансування інвестицій в енергозбереження</w:t>
      </w:r>
    </w:p>
    <w:tbl>
      <w:tblPr>
        <w:tblStyle w:val="a3"/>
        <w:tblW w:w="9639" w:type="dxa"/>
        <w:tblInd w:w="108" w:type="dxa"/>
        <w:tblLayout w:type="fixed"/>
        <w:tblLook w:val="01E0"/>
      </w:tblPr>
      <w:tblGrid>
        <w:gridCol w:w="3240"/>
        <w:gridCol w:w="722"/>
        <w:gridCol w:w="560"/>
        <w:gridCol w:w="588"/>
        <w:gridCol w:w="629"/>
        <w:gridCol w:w="434"/>
        <w:gridCol w:w="1232"/>
        <w:gridCol w:w="392"/>
        <w:gridCol w:w="770"/>
        <w:gridCol w:w="1072"/>
      </w:tblGrid>
      <w:tr w:rsidR="00BA0769" w:rsidRPr="00BA0769">
        <w:trPr>
          <w:trHeight w:val="505"/>
        </w:trPr>
        <w:tc>
          <w:tcPr>
            <w:tcW w:w="3240" w:type="dxa"/>
            <w:vMerge w:val="restart"/>
            <w:vAlign w:val="center"/>
          </w:tcPr>
          <w:p w:rsidR="00BA0769" w:rsidRPr="006D7939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D7939">
              <w:rPr>
                <w:rFonts w:ascii="Arial" w:hAnsi="Arial" w:cs="Arial"/>
                <w:b/>
                <w:sz w:val="28"/>
                <w:szCs w:val="28"/>
              </w:rPr>
              <w:t>Форма</w:t>
            </w:r>
          </w:p>
        </w:tc>
        <w:tc>
          <w:tcPr>
            <w:tcW w:w="6399" w:type="dxa"/>
            <w:gridSpan w:val="9"/>
          </w:tcPr>
          <w:p w:rsidR="00BA0769" w:rsidRPr="006D7939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D7939">
              <w:rPr>
                <w:rFonts w:ascii="Arial" w:hAnsi="Arial" w:cs="Arial"/>
                <w:b/>
                <w:sz w:val="28"/>
                <w:szCs w:val="28"/>
              </w:rPr>
              <w:t>Джерело</w:t>
            </w:r>
          </w:p>
        </w:tc>
      </w:tr>
      <w:tr w:rsidR="00BA0769" w:rsidRPr="00BA0769">
        <w:trPr>
          <w:cantSplit/>
          <w:trHeight w:val="2266"/>
        </w:trPr>
        <w:tc>
          <w:tcPr>
            <w:tcW w:w="3240" w:type="dxa"/>
            <w:vMerge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22" w:type="dxa"/>
            <w:textDirection w:val="btLr"/>
          </w:tcPr>
          <w:p w:rsidR="00BA0769" w:rsidRPr="003D3D0B" w:rsidRDefault="00BA0769" w:rsidP="003D3D0B">
            <w:pPr>
              <w:tabs>
                <w:tab w:val="left" w:pos="7725"/>
              </w:tabs>
              <w:ind w:left="113" w:right="113"/>
              <w:rPr>
                <w:rFonts w:ascii="Arial" w:hAnsi="Arial" w:cs="Arial"/>
                <w:sz w:val="22"/>
                <w:szCs w:val="22"/>
              </w:rPr>
            </w:pPr>
            <w:r w:rsidRPr="003D3D0B">
              <w:rPr>
                <w:rFonts w:ascii="Arial" w:hAnsi="Arial" w:cs="Arial"/>
                <w:sz w:val="22"/>
                <w:szCs w:val="22"/>
              </w:rPr>
              <w:t>Власний капітал   підприємства</w:t>
            </w:r>
          </w:p>
        </w:tc>
        <w:tc>
          <w:tcPr>
            <w:tcW w:w="560" w:type="dxa"/>
            <w:textDirection w:val="btLr"/>
          </w:tcPr>
          <w:p w:rsidR="00BA0769" w:rsidRPr="003D3D0B" w:rsidRDefault="00BA0769" w:rsidP="003D3D0B">
            <w:pPr>
              <w:tabs>
                <w:tab w:val="left" w:pos="7725"/>
              </w:tabs>
              <w:ind w:left="113" w:right="113"/>
              <w:rPr>
                <w:rFonts w:ascii="Arial" w:hAnsi="Arial" w:cs="Arial"/>
                <w:sz w:val="22"/>
                <w:szCs w:val="22"/>
              </w:rPr>
            </w:pPr>
            <w:r w:rsidRPr="003D3D0B">
              <w:rPr>
                <w:rFonts w:ascii="Arial" w:hAnsi="Arial" w:cs="Arial"/>
                <w:sz w:val="22"/>
                <w:szCs w:val="22"/>
              </w:rPr>
              <w:t>Державний бюджет</w:t>
            </w:r>
          </w:p>
        </w:tc>
        <w:tc>
          <w:tcPr>
            <w:tcW w:w="588" w:type="dxa"/>
            <w:textDirection w:val="btLr"/>
          </w:tcPr>
          <w:p w:rsidR="00BA0769" w:rsidRPr="003D3D0B" w:rsidRDefault="00BA0769" w:rsidP="003D3D0B">
            <w:pPr>
              <w:tabs>
                <w:tab w:val="left" w:pos="7725"/>
              </w:tabs>
              <w:ind w:left="113" w:right="113"/>
              <w:rPr>
                <w:rFonts w:ascii="Arial" w:hAnsi="Arial" w:cs="Arial"/>
                <w:sz w:val="22"/>
                <w:szCs w:val="22"/>
              </w:rPr>
            </w:pPr>
            <w:r w:rsidRPr="003D3D0B">
              <w:rPr>
                <w:rFonts w:ascii="Arial" w:hAnsi="Arial" w:cs="Arial"/>
                <w:sz w:val="22"/>
                <w:szCs w:val="22"/>
              </w:rPr>
              <w:t>Місцевий бюджет</w:t>
            </w:r>
          </w:p>
        </w:tc>
        <w:tc>
          <w:tcPr>
            <w:tcW w:w="629" w:type="dxa"/>
            <w:textDirection w:val="btLr"/>
          </w:tcPr>
          <w:p w:rsidR="00BA0769" w:rsidRPr="003D3D0B" w:rsidRDefault="00BA0769" w:rsidP="003D3D0B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D3D0B">
              <w:rPr>
                <w:rFonts w:ascii="Arial" w:hAnsi="Arial" w:cs="Arial"/>
                <w:sz w:val="22"/>
                <w:szCs w:val="22"/>
              </w:rPr>
              <w:t>Енергосервіні</w:t>
            </w:r>
            <w:proofErr w:type="spellEnd"/>
            <w:r w:rsidRPr="003D3D0B">
              <w:rPr>
                <w:rFonts w:ascii="Arial" w:hAnsi="Arial" w:cs="Arial"/>
                <w:sz w:val="22"/>
                <w:szCs w:val="22"/>
              </w:rPr>
              <w:t xml:space="preserve"> компанії</w:t>
            </w:r>
          </w:p>
          <w:p w:rsidR="00BA0769" w:rsidRPr="003D3D0B" w:rsidRDefault="00BA0769" w:rsidP="003D3D0B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  <w:p w:rsidR="00BA0769" w:rsidRPr="003D3D0B" w:rsidRDefault="00BA0769" w:rsidP="003D3D0B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  <w:p w:rsidR="00BA0769" w:rsidRPr="003D3D0B" w:rsidRDefault="00BA0769" w:rsidP="003D3D0B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</w:p>
          <w:p w:rsidR="00BA0769" w:rsidRPr="003D3D0B" w:rsidRDefault="00BA0769" w:rsidP="003D3D0B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D3D0B">
              <w:rPr>
                <w:rFonts w:ascii="Arial" w:hAnsi="Arial" w:cs="Arial"/>
                <w:sz w:val="22"/>
                <w:szCs w:val="22"/>
              </w:rPr>
              <w:t>Енергосервісні</w:t>
            </w:r>
            <w:proofErr w:type="spellEnd"/>
            <w:r w:rsidRPr="003D3D0B">
              <w:rPr>
                <w:rFonts w:ascii="Arial" w:hAnsi="Arial" w:cs="Arial"/>
                <w:sz w:val="22"/>
                <w:szCs w:val="22"/>
              </w:rPr>
              <w:t xml:space="preserve"> компанії</w:t>
            </w:r>
          </w:p>
        </w:tc>
        <w:tc>
          <w:tcPr>
            <w:tcW w:w="434" w:type="dxa"/>
            <w:textDirection w:val="btLr"/>
          </w:tcPr>
          <w:p w:rsidR="00BA0769" w:rsidRPr="003D3D0B" w:rsidRDefault="00BA0769" w:rsidP="003D3D0B">
            <w:pPr>
              <w:tabs>
                <w:tab w:val="left" w:pos="7725"/>
              </w:tabs>
              <w:ind w:left="113" w:right="113"/>
              <w:rPr>
                <w:rFonts w:ascii="Arial" w:hAnsi="Arial" w:cs="Arial"/>
                <w:sz w:val="22"/>
                <w:szCs w:val="22"/>
              </w:rPr>
            </w:pPr>
            <w:r w:rsidRPr="003D3D0B">
              <w:rPr>
                <w:rFonts w:ascii="Arial" w:hAnsi="Arial" w:cs="Arial"/>
                <w:sz w:val="22"/>
                <w:szCs w:val="22"/>
              </w:rPr>
              <w:t>Комерційні банки</w:t>
            </w:r>
          </w:p>
        </w:tc>
        <w:tc>
          <w:tcPr>
            <w:tcW w:w="1232" w:type="dxa"/>
            <w:textDirection w:val="btLr"/>
          </w:tcPr>
          <w:p w:rsidR="00BA0769" w:rsidRPr="003D3D0B" w:rsidRDefault="00BA0769" w:rsidP="003D3D0B">
            <w:pPr>
              <w:tabs>
                <w:tab w:val="left" w:pos="7725"/>
              </w:tabs>
              <w:ind w:left="113" w:right="113"/>
              <w:rPr>
                <w:rFonts w:ascii="Arial" w:hAnsi="Arial" w:cs="Arial"/>
                <w:sz w:val="22"/>
                <w:szCs w:val="22"/>
              </w:rPr>
            </w:pPr>
            <w:r w:rsidRPr="003D3D0B">
              <w:rPr>
                <w:rFonts w:ascii="Arial" w:hAnsi="Arial" w:cs="Arial"/>
                <w:sz w:val="22"/>
                <w:szCs w:val="22"/>
              </w:rPr>
              <w:t>Вітчизняні спеціальні фонди (енергозбереження, стабілізаційний)</w:t>
            </w:r>
          </w:p>
        </w:tc>
        <w:tc>
          <w:tcPr>
            <w:tcW w:w="392" w:type="dxa"/>
            <w:textDirection w:val="btLr"/>
          </w:tcPr>
          <w:p w:rsidR="00BA0769" w:rsidRPr="003D3D0B" w:rsidRDefault="00BA0769" w:rsidP="003D3D0B">
            <w:pPr>
              <w:tabs>
                <w:tab w:val="left" w:pos="7725"/>
              </w:tabs>
              <w:ind w:left="113" w:right="113"/>
              <w:rPr>
                <w:rFonts w:ascii="Arial" w:hAnsi="Arial" w:cs="Arial"/>
                <w:sz w:val="22"/>
                <w:szCs w:val="22"/>
              </w:rPr>
            </w:pPr>
            <w:r w:rsidRPr="003D3D0B">
              <w:rPr>
                <w:rFonts w:ascii="Arial" w:hAnsi="Arial" w:cs="Arial"/>
                <w:sz w:val="22"/>
                <w:szCs w:val="22"/>
              </w:rPr>
              <w:t>Лізингові компанії</w:t>
            </w:r>
          </w:p>
        </w:tc>
        <w:tc>
          <w:tcPr>
            <w:tcW w:w="770" w:type="dxa"/>
            <w:textDirection w:val="btLr"/>
          </w:tcPr>
          <w:p w:rsidR="00BA0769" w:rsidRPr="003D3D0B" w:rsidRDefault="00BA0769" w:rsidP="003D3D0B">
            <w:pPr>
              <w:tabs>
                <w:tab w:val="left" w:pos="7725"/>
              </w:tabs>
              <w:ind w:left="113" w:right="113"/>
              <w:rPr>
                <w:rFonts w:ascii="Arial" w:hAnsi="Arial" w:cs="Arial"/>
                <w:sz w:val="22"/>
                <w:szCs w:val="22"/>
              </w:rPr>
            </w:pPr>
            <w:r w:rsidRPr="003D3D0B">
              <w:rPr>
                <w:rFonts w:ascii="Arial" w:hAnsi="Arial" w:cs="Arial"/>
                <w:sz w:val="22"/>
                <w:szCs w:val="22"/>
              </w:rPr>
              <w:t>Міжнародні фінансові фонди</w:t>
            </w:r>
          </w:p>
        </w:tc>
        <w:tc>
          <w:tcPr>
            <w:tcW w:w="1072" w:type="dxa"/>
            <w:textDirection w:val="btLr"/>
          </w:tcPr>
          <w:p w:rsidR="00BA0769" w:rsidRPr="003D3D0B" w:rsidRDefault="00BA0769" w:rsidP="003D3D0B">
            <w:pPr>
              <w:tabs>
                <w:tab w:val="left" w:pos="7725"/>
              </w:tabs>
              <w:ind w:left="113" w:right="113"/>
              <w:rPr>
                <w:rFonts w:ascii="Arial" w:hAnsi="Arial" w:cs="Arial"/>
                <w:sz w:val="22"/>
                <w:szCs w:val="22"/>
              </w:rPr>
            </w:pPr>
            <w:r w:rsidRPr="003D3D0B">
              <w:rPr>
                <w:rFonts w:ascii="Arial" w:hAnsi="Arial" w:cs="Arial"/>
                <w:sz w:val="22"/>
                <w:szCs w:val="22"/>
              </w:rPr>
              <w:t>Міжнародні програми технічної допомоги</w:t>
            </w:r>
          </w:p>
        </w:tc>
      </w:tr>
      <w:tr w:rsidR="00BA0769" w:rsidRPr="00BA0769">
        <w:tc>
          <w:tcPr>
            <w:tcW w:w="3240" w:type="dxa"/>
          </w:tcPr>
          <w:p w:rsidR="00BA0769" w:rsidRPr="003D3D0B" w:rsidRDefault="00BA0769" w:rsidP="003D3D0B">
            <w:pPr>
              <w:tabs>
                <w:tab w:val="left" w:pos="7725"/>
              </w:tabs>
              <w:rPr>
                <w:rFonts w:ascii="Arial" w:hAnsi="Arial" w:cs="Arial"/>
              </w:rPr>
            </w:pPr>
            <w:r w:rsidRPr="003D3D0B">
              <w:rPr>
                <w:rFonts w:ascii="Arial" w:hAnsi="Arial" w:cs="Arial"/>
              </w:rPr>
              <w:t>Прямі інвестиції в статутний фонд</w:t>
            </w:r>
          </w:p>
        </w:tc>
        <w:tc>
          <w:tcPr>
            <w:tcW w:w="72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560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588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629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434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123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39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70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107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</w:tr>
      <w:tr w:rsidR="00BA0769" w:rsidRPr="00BA0769">
        <w:tc>
          <w:tcPr>
            <w:tcW w:w="3240" w:type="dxa"/>
          </w:tcPr>
          <w:p w:rsidR="00BA0769" w:rsidRPr="003D3D0B" w:rsidRDefault="00BA0769" w:rsidP="003D3D0B">
            <w:pPr>
              <w:tabs>
                <w:tab w:val="left" w:pos="7725"/>
              </w:tabs>
              <w:rPr>
                <w:rFonts w:ascii="Arial" w:hAnsi="Arial" w:cs="Arial"/>
              </w:rPr>
            </w:pPr>
            <w:r w:rsidRPr="003D3D0B">
              <w:rPr>
                <w:rFonts w:ascii="Arial" w:hAnsi="Arial" w:cs="Arial"/>
              </w:rPr>
              <w:t>Портфельні інвестиції</w:t>
            </w:r>
          </w:p>
        </w:tc>
        <w:tc>
          <w:tcPr>
            <w:tcW w:w="72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560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588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629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434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123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9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70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07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</w:tr>
      <w:tr w:rsidR="00BA0769" w:rsidRPr="00BA0769">
        <w:tc>
          <w:tcPr>
            <w:tcW w:w="3240" w:type="dxa"/>
          </w:tcPr>
          <w:p w:rsidR="00BA0769" w:rsidRPr="003D3D0B" w:rsidRDefault="00BA0769" w:rsidP="003D3D0B">
            <w:pPr>
              <w:tabs>
                <w:tab w:val="left" w:pos="7725"/>
              </w:tabs>
              <w:rPr>
                <w:rFonts w:ascii="Arial" w:hAnsi="Arial" w:cs="Arial"/>
              </w:rPr>
            </w:pPr>
            <w:r w:rsidRPr="003D3D0B">
              <w:rPr>
                <w:rFonts w:ascii="Arial" w:hAnsi="Arial" w:cs="Arial"/>
              </w:rPr>
              <w:t>Кредити</w:t>
            </w:r>
          </w:p>
        </w:tc>
        <w:tc>
          <w:tcPr>
            <w:tcW w:w="72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560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588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629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434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123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39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70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107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</w:tr>
      <w:tr w:rsidR="00BA0769" w:rsidRPr="00BA0769">
        <w:tc>
          <w:tcPr>
            <w:tcW w:w="3240" w:type="dxa"/>
          </w:tcPr>
          <w:p w:rsidR="00BA0769" w:rsidRPr="003D3D0B" w:rsidRDefault="00BA0769" w:rsidP="003D3D0B">
            <w:pPr>
              <w:tabs>
                <w:tab w:val="left" w:pos="7725"/>
              </w:tabs>
              <w:rPr>
                <w:rFonts w:ascii="Arial" w:hAnsi="Arial" w:cs="Arial"/>
              </w:rPr>
            </w:pPr>
            <w:r w:rsidRPr="003D3D0B">
              <w:rPr>
                <w:rFonts w:ascii="Arial" w:hAnsi="Arial" w:cs="Arial"/>
              </w:rPr>
              <w:t>Податкові пільги</w:t>
            </w:r>
          </w:p>
        </w:tc>
        <w:tc>
          <w:tcPr>
            <w:tcW w:w="72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560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588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629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434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23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39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70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07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</w:tr>
      <w:tr w:rsidR="00BA0769" w:rsidRPr="00BA0769">
        <w:tc>
          <w:tcPr>
            <w:tcW w:w="3240" w:type="dxa"/>
          </w:tcPr>
          <w:p w:rsidR="00BA0769" w:rsidRPr="003D3D0B" w:rsidRDefault="00BA0769" w:rsidP="003D3D0B">
            <w:pPr>
              <w:tabs>
                <w:tab w:val="left" w:pos="7725"/>
              </w:tabs>
              <w:rPr>
                <w:rFonts w:ascii="Arial" w:hAnsi="Arial" w:cs="Arial"/>
              </w:rPr>
            </w:pPr>
            <w:r w:rsidRPr="003D3D0B">
              <w:rPr>
                <w:rFonts w:ascii="Arial" w:hAnsi="Arial" w:cs="Arial"/>
              </w:rPr>
              <w:t xml:space="preserve">Гранти </w:t>
            </w:r>
          </w:p>
        </w:tc>
        <w:tc>
          <w:tcPr>
            <w:tcW w:w="72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560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588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629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434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23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39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70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107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</w:tr>
      <w:tr w:rsidR="00BA0769" w:rsidRPr="00BA0769">
        <w:trPr>
          <w:trHeight w:val="533"/>
        </w:trPr>
        <w:tc>
          <w:tcPr>
            <w:tcW w:w="3240" w:type="dxa"/>
          </w:tcPr>
          <w:p w:rsidR="00BA0769" w:rsidRPr="003D3D0B" w:rsidRDefault="00BA0769" w:rsidP="003D3D0B">
            <w:pPr>
              <w:tabs>
                <w:tab w:val="left" w:pos="7725"/>
              </w:tabs>
              <w:rPr>
                <w:rFonts w:ascii="Arial" w:hAnsi="Arial" w:cs="Arial"/>
              </w:rPr>
            </w:pPr>
            <w:proofErr w:type="spellStart"/>
            <w:r w:rsidRPr="003D3D0B">
              <w:rPr>
                <w:rFonts w:ascii="Arial" w:hAnsi="Arial" w:cs="Arial"/>
              </w:rPr>
              <w:t>Перфоманс-контрактинг</w:t>
            </w:r>
            <w:proofErr w:type="spellEnd"/>
          </w:p>
        </w:tc>
        <w:tc>
          <w:tcPr>
            <w:tcW w:w="72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560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588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629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434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23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9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70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07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</w:tr>
      <w:tr w:rsidR="00BA0769" w:rsidRPr="00BA0769">
        <w:trPr>
          <w:trHeight w:val="421"/>
        </w:trPr>
        <w:tc>
          <w:tcPr>
            <w:tcW w:w="3240" w:type="dxa"/>
          </w:tcPr>
          <w:p w:rsidR="00BA0769" w:rsidRPr="003D3D0B" w:rsidRDefault="00BA0769" w:rsidP="003D3D0B">
            <w:pPr>
              <w:tabs>
                <w:tab w:val="left" w:pos="7725"/>
              </w:tabs>
              <w:rPr>
                <w:rFonts w:ascii="Arial" w:hAnsi="Arial" w:cs="Arial"/>
              </w:rPr>
            </w:pPr>
            <w:r w:rsidRPr="003D3D0B">
              <w:rPr>
                <w:rFonts w:ascii="Arial" w:hAnsi="Arial" w:cs="Arial"/>
              </w:rPr>
              <w:t xml:space="preserve">Лізинг </w:t>
            </w:r>
          </w:p>
        </w:tc>
        <w:tc>
          <w:tcPr>
            <w:tcW w:w="72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560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588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629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434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123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39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770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107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</w:tr>
      <w:tr w:rsidR="00BA0769" w:rsidRPr="00BA0769">
        <w:trPr>
          <w:trHeight w:val="505"/>
        </w:trPr>
        <w:tc>
          <w:tcPr>
            <w:tcW w:w="3240" w:type="dxa"/>
          </w:tcPr>
          <w:p w:rsidR="00BA0769" w:rsidRPr="003D3D0B" w:rsidRDefault="00BA0769" w:rsidP="003D3D0B">
            <w:pPr>
              <w:tabs>
                <w:tab w:val="left" w:pos="7725"/>
              </w:tabs>
              <w:rPr>
                <w:rFonts w:ascii="Arial" w:hAnsi="Arial" w:cs="Arial"/>
              </w:rPr>
            </w:pPr>
            <w:r w:rsidRPr="003D3D0B">
              <w:rPr>
                <w:rFonts w:ascii="Arial" w:hAnsi="Arial" w:cs="Arial"/>
              </w:rPr>
              <w:t xml:space="preserve">Благодійна допомога </w:t>
            </w:r>
          </w:p>
        </w:tc>
        <w:tc>
          <w:tcPr>
            <w:tcW w:w="72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560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588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629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434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23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39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770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1072" w:type="dxa"/>
            <w:vAlign w:val="center"/>
          </w:tcPr>
          <w:p w:rsidR="00BA0769" w:rsidRPr="003D3D0B" w:rsidRDefault="00BA0769" w:rsidP="00BA0769">
            <w:pPr>
              <w:tabs>
                <w:tab w:val="left" w:pos="7725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3D0B">
              <w:rPr>
                <w:rFonts w:ascii="Arial" w:hAnsi="Arial" w:cs="Arial"/>
                <w:b/>
              </w:rPr>
              <w:t>+</w:t>
            </w:r>
          </w:p>
        </w:tc>
      </w:tr>
    </w:tbl>
    <w:p w:rsidR="006467E7" w:rsidRDefault="006D7939" w:rsidP="005467A1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Поєднання різних джерел, форм і методів того чи іншого джерела формує своєрідну схему фінансування енергозберігаючого проекту. Тут </w:t>
      </w:r>
      <w:r w:rsidR="00241C88">
        <w:rPr>
          <w:rFonts w:ascii="Arial" w:hAnsi="Arial" w:cs="Arial"/>
          <w:sz w:val="28"/>
          <w:szCs w:val="28"/>
        </w:rPr>
        <w:lastRenderedPageBreak/>
        <w:t>та</w:t>
      </w:r>
      <w:r>
        <w:rPr>
          <w:rFonts w:ascii="Arial" w:hAnsi="Arial" w:cs="Arial"/>
          <w:sz w:val="28"/>
          <w:szCs w:val="28"/>
        </w:rPr>
        <w:t>кож обо</w:t>
      </w:r>
      <w:r w:rsidR="00241C88">
        <w:rPr>
          <w:rFonts w:ascii="Arial" w:hAnsi="Arial" w:cs="Arial"/>
          <w:sz w:val="28"/>
          <w:szCs w:val="28"/>
        </w:rPr>
        <w:t>в</w:t>
      </w:r>
      <w:r>
        <w:rPr>
          <w:rFonts w:ascii="Arial" w:hAnsi="Arial" w:cs="Arial"/>
          <w:sz w:val="28"/>
          <w:szCs w:val="28"/>
        </w:rPr>
        <w:t xml:space="preserve">’язково потрібно врахувати </w:t>
      </w:r>
      <w:r w:rsidR="00241C88">
        <w:rPr>
          <w:rFonts w:ascii="Arial" w:hAnsi="Arial" w:cs="Arial"/>
          <w:sz w:val="28"/>
          <w:szCs w:val="28"/>
        </w:rPr>
        <w:t>специфічні вимоги інвесторів або кредиторів, оцінити можливість та необхідність поєднання кількох форм інвестування. Звичайно пошук інвесторів та розв’язання питання про відкриття фінансування обов’язково супроводжується розробкою бізнес-плану, де чітко та до</w:t>
      </w:r>
      <w:r w:rsidR="005467A1">
        <w:rPr>
          <w:rFonts w:ascii="Arial" w:hAnsi="Arial" w:cs="Arial"/>
          <w:sz w:val="28"/>
          <w:szCs w:val="28"/>
        </w:rPr>
        <w:t>ступно потрібно викласти основну</w:t>
      </w:r>
      <w:r w:rsidR="00241C88">
        <w:rPr>
          <w:rFonts w:ascii="Arial" w:hAnsi="Arial" w:cs="Arial"/>
          <w:sz w:val="28"/>
          <w:szCs w:val="28"/>
        </w:rPr>
        <w:t xml:space="preserve"> ідею та мету проекту, важливі моменти щодо обсягу необхідних коштів, економічний ефект, розрахувати термін окупності тощо.</w:t>
      </w:r>
      <w:r w:rsidR="005467A1">
        <w:rPr>
          <w:rFonts w:ascii="Arial" w:hAnsi="Arial" w:cs="Arial"/>
          <w:sz w:val="28"/>
          <w:szCs w:val="28"/>
        </w:rPr>
        <w:t xml:space="preserve"> </w:t>
      </w:r>
      <w:r w:rsidR="00241C88">
        <w:rPr>
          <w:rFonts w:ascii="Arial" w:hAnsi="Arial" w:cs="Arial"/>
          <w:sz w:val="28"/>
          <w:szCs w:val="28"/>
        </w:rPr>
        <w:t xml:space="preserve">Цілком очевидно, що усі ці процедури вимагають значних затрат часу та ресурсів, проте відкладати навіть найризикованішу ідею не варто. </w:t>
      </w:r>
    </w:p>
    <w:p w:rsidR="005467A1" w:rsidRDefault="005467A1" w:rsidP="005467A1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</w:rPr>
      </w:pPr>
    </w:p>
    <w:p w:rsidR="009C4171" w:rsidRPr="006467E7" w:rsidRDefault="00431BC0" w:rsidP="007D6F69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6467E7">
        <w:rPr>
          <w:rFonts w:ascii="Arial" w:hAnsi="Arial" w:cs="Arial"/>
          <w:b/>
          <w:sz w:val="28"/>
          <w:szCs w:val="28"/>
        </w:rPr>
        <w:t>Висновок</w:t>
      </w:r>
    </w:p>
    <w:p w:rsidR="00431BC0" w:rsidRPr="007D6F69" w:rsidRDefault="007D6F69" w:rsidP="007D6F6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</w:t>
      </w:r>
      <w:r w:rsidRPr="007D6F69">
        <w:rPr>
          <w:rFonts w:ascii="Arial" w:hAnsi="Arial" w:cs="Arial"/>
          <w:sz w:val="28"/>
          <w:szCs w:val="28"/>
        </w:rPr>
        <w:t xml:space="preserve">освід </w:t>
      </w:r>
      <w:r>
        <w:rPr>
          <w:rFonts w:ascii="Arial" w:hAnsi="Arial" w:cs="Arial"/>
          <w:sz w:val="28"/>
          <w:szCs w:val="28"/>
        </w:rPr>
        <w:t>реалізації енергозберігаючих проектів на вітчизняних підприємствах свідчить про недостатню</w:t>
      </w:r>
      <w:r w:rsidR="000A0666">
        <w:rPr>
          <w:rFonts w:ascii="Arial" w:hAnsi="Arial" w:cs="Arial"/>
          <w:sz w:val="28"/>
          <w:szCs w:val="28"/>
        </w:rPr>
        <w:t xml:space="preserve"> їх</w:t>
      </w:r>
      <w:r>
        <w:rPr>
          <w:rFonts w:ascii="Arial" w:hAnsi="Arial" w:cs="Arial"/>
          <w:sz w:val="28"/>
          <w:szCs w:val="28"/>
        </w:rPr>
        <w:t xml:space="preserve"> активність та зацікавленість</w:t>
      </w:r>
      <w:r w:rsidR="000A0666">
        <w:rPr>
          <w:rFonts w:ascii="Arial" w:hAnsi="Arial" w:cs="Arial"/>
          <w:sz w:val="28"/>
          <w:szCs w:val="28"/>
        </w:rPr>
        <w:t>, основною причиною цьому є недостатні обсяги фінансових ресурсів, обмеженість обігових коштів та недостатня обізнаність керівників та підприємців щодо можливих альтернативних варіантів фінансування інвестицій в енергозбереження.</w:t>
      </w:r>
      <w:r>
        <w:rPr>
          <w:rFonts w:ascii="Arial" w:hAnsi="Arial" w:cs="Arial"/>
          <w:sz w:val="28"/>
          <w:szCs w:val="28"/>
        </w:rPr>
        <w:t xml:space="preserve"> </w:t>
      </w:r>
    </w:p>
    <w:p w:rsidR="007D6F69" w:rsidRPr="007D6F69" w:rsidRDefault="007D6F69" w:rsidP="000A0666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:rsidR="00431BC0" w:rsidRDefault="00431BC0" w:rsidP="006467E7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6467E7">
        <w:rPr>
          <w:rFonts w:ascii="Arial" w:hAnsi="Arial" w:cs="Arial"/>
          <w:b/>
          <w:sz w:val="28"/>
          <w:szCs w:val="28"/>
        </w:rPr>
        <w:t>Список літератури</w:t>
      </w:r>
    </w:p>
    <w:p w:rsidR="007D6F69" w:rsidRPr="00B75DBC" w:rsidRDefault="006467E7" w:rsidP="007D6F69">
      <w:pPr>
        <w:ind w:firstLine="540"/>
        <w:jc w:val="both"/>
        <w:rPr>
          <w:rFonts w:ascii="Arial" w:hAnsi="Arial" w:cs="Arial"/>
          <w:sz w:val="28"/>
          <w:szCs w:val="28"/>
        </w:rPr>
      </w:pPr>
      <w:r w:rsidRPr="00B75DBC">
        <w:rPr>
          <w:rFonts w:ascii="Arial" w:hAnsi="Arial" w:cs="Arial"/>
          <w:sz w:val="28"/>
          <w:szCs w:val="28"/>
        </w:rPr>
        <w:t xml:space="preserve">1. </w:t>
      </w:r>
      <w:proofErr w:type="spellStart"/>
      <w:r w:rsidR="007D6F69" w:rsidRPr="00B75DBC">
        <w:rPr>
          <w:rFonts w:ascii="Arial" w:hAnsi="Arial" w:cs="Arial"/>
          <w:sz w:val="28"/>
          <w:szCs w:val="28"/>
        </w:rPr>
        <w:t>Енергоефективність</w:t>
      </w:r>
      <w:proofErr w:type="spellEnd"/>
      <w:r w:rsidR="007D6F69" w:rsidRPr="00B75DBC">
        <w:rPr>
          <w:rFonts w:ascii="Arial" w:hAnsi="Arial" w:cs="Arial"/>
          <w:sz w:val="28"/>
          <w:szCs w:val="28"/>
        </w:rPr>
        <w:t xml:space="preserve"> як ресурс інноваційного розвитку: Національна доповідь про стан та перспективи реалізації державної політики енергоефективності у 2008 році / С.Ф. Єрмолов, В.М. </w:t>
      </w:r>
      <w:proofErr w:type="spellStart"/>
      <w:r w:rsidR="007D6F69" w:rsidRPr="00B75DBC">
        <w:rPr>
          <w:rFonts w:ascii="Arial" w:hAnsi="Arial" w:cs="Arial"/>
          <w:sz w:val="28"/>
          <w:szCs w:val="28"/>
        </w:rPr>
        <w:t>Геєць</w:t>
      </w:r>
      <w:proofErr w:type="spellEnd"/>
      <w:r w:rsidR="007D6F69" w:rsidRPr="00B75DBC">
        <w:rPr>
          <w:rFonts w:ascii="Arial" w:hAnsi="Arial" w:cs="Arial"/>
          <w:sz w:val="28"/>
          <w:szCs w:val="28"/>
        </w:rPr>
        <w:t xml:space="preserve">, Ю.П. </w:t>
      </w:r>
      <w:proofErr w:type="spellStart"/>
      <w:r w:rsidR="007D6F69" w:rsidRPr="00B75DBC">
        <w:rPr>
          <w:rFonts w:ascii="Arial" w:hAnsi="Arial" w:cs="Arial"/>
          <w:sz w:val="28"/>
          <w:szCs w:val="28"/>
        </w:rPr>
        <w:t>Ященко</w:t>
      </w:r>
      <w:proofErr w:type="spellEnd"/>
      <w:r w:rsidR="007D6F69" w:rsidRPr="00B75DBC">
        <w:rPr>
          <w:rFonts w:ascii="Arial" w:hAnsi="Arial" w:cs="Arial"/>
          <w:sz w:val="28"/>
          <w:szCs w:val="28"/>
        </w:rPr>
        <w:t>. – Київ, НАЕР, 2009. – 93 с.</w:t>
      </w:r>
    </w:p>
    <w:p w:rsidR="007D6F69" w:rsidRPr="00B75DBC" w:rsidRDefault="007D6F69" w:rsidP="007D6F69">
      <w:pPr>
        <w:ind w:firstLine="540"/>
        <w:jc w:val="both"/>
        <w:rPr>
          <w:rFonts w:ascii="Arial" w:hAnsi="Arial" w:cs="Arial"/>
          <w:sz w:val="28"/>
          <w:szCs w:val="28"/>
        </w:rPr>
      </w:pPr>
      <w:r w:rsidRPr="00B75DBC">
        <w:rPr>
          <w:rFonts w:ascii="Arial" w:hAnsi="Arial" w:cs="Arial"/>
          <w:sz w:val="28"/>
          <w:szCs w:val="28"/>
        </w:rPr>
        <w:t>2. Указ Президента України від 28.07.2008 № 679/2008 «Про рішення Ради національної безпеки і оборони України від 30 травня 2008 року „Про стан реалізації державної політики щодо забезпечення ефективного використання паливно-енергетичних ресурсів"».</w:t>
      </w:r>
      <w:r w:rsidRPr="00B75DBC">
        <w:rPr>
          <w:rFonts w:ascii="Arial" w:hAnsi="Arial" w:cs="Arial"/>
          <w:sz w:val="28"/>
          <w:szCs w:val="28"/>
          <w:lang w:val="en-US"/>
        </w:rPr>
        <w:t>www</w:t>
      </w:r>
      <w:r w:rsidRPr="00B75DBC">
        <w:rPr>
          <w:rFonts w:ascii="Arial" w:hAnsi="Arial" w:cs="Arial"/>
          <w:sz w:val="28"/>
          <w:szCs w:val="28"/>
        </w:rPr>
        <w:t>.</w:t>
      </w:r>
      <w:proofErr w:type="spellStart"/>
      <w:r w:rsidRPr="00B75DBC">
        <w:rPr>
          <w:rFonts w:ascii="Arial" w:hAnsi="Arial" w:cs="Arial"/>
          <w:sz w:val="28"/>
          <w:szCs w:val="28"/>
          <w:lang w:val="en-US"/>
        </w:rPr>
        <w:t>radazakon</w:t>
      </w:r>
      <w:proofErr w:type="spellEnd"/>
      <w:r w:rsidRPr="00B75DBC">
        <w:rPr>
          <w:rFonts w:ascii="Arial" w:hAnsi="Arial" w:cs="Arial"/>
          <w:sz w:val="28"/>
          <w:szCs w:val="28"/>
        </w:rPr>
        <w:t>.</w:t>
      </w:r>
      <w:proofErr w:type="spellStart"/>
      <w:r w:rsidRPr="00B75DBC">
        <w:rPr>
          <w:rFonts w:ascii="Arial" w:hAnsi="Arial" w:cs="Arial"/>
          <w:sz w:val="28"/>
          <w:szCs w:val="28"/>
          <w:lang w:val="en-US"/>
        </w:rPr>
        <w:t>gov</w:t>
      </w:r>
      <w:proofErr w:type="spellEnd"/>
      <w:r w:rsidRPr="00B75DBC">
        <w:rPr>
          <w:rFonts w:ascii="Arial" w:hAnsi="Arial" w:cs="Arial"/>
          <w:sz w:val="28"/>
          <w:szCs w:val="28"/>
        </w:rPr>
        <w:t>.</w:t>
      </w:r>
      <w:proofErr w:type="spellStart"/>
      <w:r w:rsidRPr="00B75DBC">
        <w:rPr>
          <w:rFonts w:ascii="Arial" w:hAnsi="Arial" w:cs="Arial"/>
          <w:sz w:val="28"/>
          <w:szCs w:val="28"/>
          <w:lang w:val="en-US"/>
        </w:rPr>
        <w:t>ua</w:t>
      </w:r>
      <w:proofErr w:type="spellEnd"/>
    </w:p>
    <w:p w:rsidR="007D6F69" w:rsidRPr="00B75DBC" w:rsidRDefault="007D6F69" w:rsidP="007D6F69">
      <w:pPr>
        <w:ind w:firstLine="568"/>
        <w:jc w:val="both"/>
        <w:rPr>
          <w:rFonts w:ascii="Arial" w:hAnsi="Arial" w:cs="Arial"/>
          <w:sz w:val="28"/>
          <w:szCs w:val="28"/>
        </w:rPr>
      </w:pPr>
      <w:r w:rsidRPr="00B75DBC">
        <w:rPr>
          <w:rFonts w:ascii="Arial" w:hAnsi="Arial" w:cs="Arial"/>
          <w:sz w:val="28"/>
          <w:szCs w:val="28"/>
        </w:rPr>
        <w:t xml:space="preserve">3. </w:t>
      </w:r>
      <w:proofErr w:type="spellStart"/>
      <w:r w:rsidRPr="00B75DBC">
        <w:rPr>
          <w:rFonts w:ascii="Arial" w:hAnsi="Arial" w:cs="Arial"/>
          <w:sz w:val="28"/>
          <w:szCs w:val="28"/>
        </w:rPr>
        <w:t>Ge</w:t>
      </w:r>
      <w:proofErr w:type="spellEnd"/>
      <w:r w:rsidRPr="00B75DB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75DBC">
        <w:rPr>
          <w:rFonts w:ascii="Arial" w:hAnsi="Arial" w:cs="Arial"/>
          <w:sz w:val="28"/>
          <w:szCs w:val="28"/>
        </w:rPr>
        <w:t>Bo</w:t>
      </w:r>
      <w:proofErr w:type="spellEnd"/>
      <w:r w:rsidRPr="00B75DBC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75DBC">
        <w:rPr>
          <w:rFonts w:ascii="Arial" w:hAnsi="Arial" w:cs="Arial"/>
          <w:sz w:val="28"/>
          <w:szCs w:val="28"/>
        </w:rPr>
        <w:t>The</w:t>
      </w:r>
      <w:proofErr w:type="spellEnd"/>
      <w:r w:rsidRPr="00B75DB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75DBC">
        <w:rPr>
          <w:rFonts w:ascii="Arial" w:hAnsi="Arial" w:cs="Arial"/>
          <w:sz w:val="28"/>
          <w:szCs w:val="28"/>
        </w:rPr>
        <w:t>Role</w:t>
      </w:r>
      <w:proofErr w:type="spellEnd"/>
      <w:r w:rsidRPr="00B75DB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75DBC">
        <w:rPr>
          <w:rFonts w:ascii="Arial" w:hAnsi="Arial" w:cs="Arial"/>
          <w:sz w:val="28"/>
          <w:szCs w:val="28"/>
        </w:rPr>
        <w:t>of</w:t>
      </w:r>
      <w:proofErr w:type="spellEnd"/>
      <w:r w:rsidRPr="00B75DB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75DBC">
        <w:rPr>
          <w:rFonts w:ascii="Arial" w:hAnsi="Arial" w:cs="Arial"/>
          <w:sz w:val="28"/>
          <w:szCs w:val="28"/>
        </w:rPr>
        <w:t>Governmmentr</w:t>
      </w:r>
      <w:proofErr w:type="spellEnd"/>
      <w:r w:rsidRPr="00B75DB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75DBC">
        <w:rPr>
          <w:rFonts w:ascii="Arial" w:hAnsi="Arial" w:cs="Arial"/>
          <w:sz w:val="28"/>
          <w:szCs w:val="28"/>
        </w:rPr>
        <w:t>Bodies</w:t>
      </w:r>
      <w:proofErr w:type="spellEnd"/>
      <w:r w:rsidRPr="00B75DB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75DBC">
        <w:rPr>
          <w:rFonts w:ascii="Arial" w:hAnsi="Arial" w:cs="Arial"/>
          <w:sz w:val="28"/>
          <w:szCs w:val="28"/>
        </w:rPr>
        <w:t>in</w:t>
      </w:r>
      <w:proofErr w:type="spellEnd"/>
      <w:r w:rsidRPr="00B75DB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75DBC">
        <w:rPr>
          <w:rFonts w:ascii="Arial" w:hAnsi="Arial" w:cs="Arial"/>
          <w:sz w:val="28"/>
          <w:szCs w:val="28"/>
        </w:rPr>
        <w:t>Technology</w:t>
      </w:r>
      <w:proofErr w:type="spellEnd"/>
      <w:r w:rsidRPr="00B75DBC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75DBC">
        <w:rPr>
          <w:rFonts w:ascii="Arial" w:hAnsi="Arial" w:cs="Arial"/>
          <w:sz w:val="28"/>
          <w:szCs w:val="28"/>
        </w:rPr>
        <w:t>the</w:t>
      </w:r>
      <w:proofErr w:type="spellEnd"/>
      <w:r w:rsidRPr="00B75DB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75DBC">
        <w:rPr>
          <w:rFonts w:ascii="Arial" w:hAnsi="Arial" w:cs="Arial"/>
          <w:sz w:val="28"/>
          <w:szCs w:val="28"/>
        </w:rPr>
        <w:t>Example</w:t>
      </w:r>
      <w:proofErr w:type="spellEnd"/>
      <w:r w:rsidRPr="00B75DB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75DBC">
        <w:rPr>
          <w:rFonts w:ascii="Arial" w:hAnsi="Arial" w:cs="Arial"/>
          <w:sz w:val="28"/>
          <w:szCs w:val="28"/>
        </w:rPr>
        <w:t>ofChina</w:t>
      </w:r>
      <w:proofErr w:type="spellEnd"/>
      <w:r w:rsidRPr="00B75DBC">
        <w:rPr>
          <w:rFonts w:ascii="Arial" w:hAnsi="Arial" w:cs="Arial"/>
          <w:sz w:val="28"/>
          <w:szCs w:val="28"/>
        </w:rPr>
        <w:t xml:space="preserve"> // Передача </w:t>
      </w:r>
      <w:proofErr w:type="spellStart"/>
      <w:r w:rsidRPr="00B75DBC">
        <w:rPr>
          <w:rFonts w:ascii="Arial" w:hAnsi="Arial" w:cs="Arial"/>
          <w:sz w:val="28"/>
          <w:szCs w:val="28"/>
        </w:rPr>
        <w:t>технологий</w:t>
      </w:r>
      <w:proofErr w:type="spellEnd"/>
      <w:r w:rsidRPr="00B75DBC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75DBC">
        <w:rPr>
          <w:rFonts w:ascii="Arial" w:hAnsi="Arial" w:cs="Arial"/>
          <w:sz w:val="28"/>
          <w:szCs w:val="28"/>
        </w:rPr>
        <w:t>заключение</w:t>
      </w:r>
      <w:proofErr w:type="spellEnd"/>
      <w:r w:rsidRPr="00B75DB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75DBC">
        <w:rPr>
          <w:rFonts w:ascii="Arial" w:hAnsi="Arial" w:cs="Arial"/>
          <w:sz w:val="28"/>
          <w:szCs w:val="28"/>
        </w:rPr>
        <w:t>договоров</w:t>
      </w:r>
      <w:proofErr w:type="spellEnd"/>
      <w:r w:rsidRPr="00B75DBC">
        <w:rPr>
          <w:rFonts w:ascii="Arial" w:hAnsi="Arial" w:cs="Arial"/>
          <w:sz w:val="28"/>
          <w:szCs w:val="28"/>
        </w:rPr>
        <w:t xml:space="preserve"> и маркетинг. </w:t>
      </w:r>
      <w:proofErr w:type="spellStart"/>
      <w:r w:rsidRPr="00B75DBC">
        <w:rPr>
          <w:rFonts w:ascii="Arial" w:hAnsi="Arial" w:cs="Arial"/>
          <w:sz w:val="28"/>
          <w:szCs w:val="28"/>
        </w:rPr>
        <w:t>Материалы</w:t>
      </w:r>
      <w:proofErr w:type="spellEnd"/>
      <w:r w:rsidRPr="00B75DB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75DBC">
        <w:rPr>
          <w:rFonts w:ascii="Arial" w:hAnsi="Arial" w:cs="Arial"/>
          <w:sz w:val="28"/>
          <w:szCs w:val="28"/>
        </w:rPr>
        <w:t>международного</w:t>
      </w:r>
      <w:proofErr w:type="spellEnd"/>
      <w:r w:rsidRPr="00B75DBC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B75DBC">
        <w:rPr>
          <w:rFonts w:ascii="Arial" w:hAnsi="Arial" w:cs="Arial"/>
          <w:sz w:val="28"/>
          <w:szCs w:val="28"/>
        </w:rPr>
        <w:t>семинара</w:t>
      </w:r>
      <w:proofErr w:type="spellEnd"/>
      <w:r w:rsidRPr="00B75DBC">
        <w:rPr>
          <w:rFonts w:ascii="Arial" w:hAnsi="Arial" w:cs="Arial"/>
          <w:sz w:val="28"/>
          <w:szCs w:val="28"/>
        </w:rPr>
        <w:t>. – К., 2002. – С. 39-47.</w:t>
      </w:r>
    </w:p>
    <w:p w:rsidR="007D6F69" w:rsidRPr="00B75DBC" w:rsidRDefault="007D6F69" w:rsidP="007D6F69">
      <w:pPr>
        <w:ind w:firstLine="540"/>
        <w:jc w:val="both"/>
        <w:rPr>
          <w:rFonts w:ascii="Arial" w:hAnsi="Arial" w:cs="Arial"/>
          <w:sz w:val="28"/>
          <w:szCs w:val="28"/>
        </w:rPr>
      </w:pPr>
    </w:p>
    <w:p w:rsidR="006467E7" w:rsidRPr="007D6F69" w:rsidRDefault="006467E7" w:rsidP="007D6F69">
      <w:pPr>
        <w:spacing w:line="360" w:lineRule="auto"/>
        <w:jc w:val="both"/>
        <w:rPr>
          <w:rFonts w:ascii="Arial" w:hAnsi="Arial" w:cs="Arial"/>
          <w:sz w:val="26"/>
          <w:szCs w:val="26"/>
        </w:rPr>
      </w:pPr>
    </w:p>
    <w:sectPr w:rsidR="006467E7" w:rsidRPr="007D6F69" w:rsidSect="00431BC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B96319"/>
    <w:rsid w:val="00076513"/>
    <w:rsid w:val="000A0666"/>
    <w:rsid w:val="001D1A6D"/>
    <w:rsid w:val="00241C88"/>
    <w:rsid w:val="003D3D0B"/>
    <w:rsid w:val="00431BC0"/>
    <w:rsid w:val="004666AB"/>
    <w:rsid w:val="005467A1"/>
    <w:rsid w:val="006467E7"/>
    <w:rsid w:val="00660717"/>
    <w:rsid w:val="006D7939"/>
    <w:rsid w:val="007D6F69"/>
    <w:rsid w:val="007F662C"/>
    <w:rsid w:val="009C4171"/>
    <w:rsid w:val="00A34E30"/>
    <w:rsid w:val="00B75DBC"/>
    <w:rsid w:val="00B96319"/>
    <w:rsid w:val="00BA0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769"/>
    <w:rPr>
      <w:sz w:val="24"/>
      <w:szCs w:val="24"/>
      <w:lang w:val="uk-U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A07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BA07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УДК 621</vt:lpstr>
    </vt:vector>
  </TitlesOfParts>
  <Company>Home</Company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УДК 621</dc:title>
  <dc:subject/>
  <dc:creator>Sveta</dc:creator>
  <cp:keywords/>
  <dc:description/>
  <cp:lastModifiedBy>Sveta</cp:lastModifiedBy>
  <cp:revision>2</cp:revision>
  <dcterms:created xsi:type="dcterms:W3CDTF">2016-02-04T09:15:00Z</dcterms:created>
  <dcterms:modified xsi:type="dcterms:W3CDTF">2016-02-04T09:15:00Z</dcterms:modified>
</cp:coreProperties>
</file>